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D0BE" w14:textId="77777777" w:rsidR="00E45FC8" w:rsidRDefault="00E36130">
      <w:pPr>
        <w:pStyle w:val="af1"/>
        <w:spacing w:line="0" w:lineRule="atLeast"/>
        <w:ind w:right="-1"/>
        <w:jc w:val="center"/>
        <w:rPr>
          <w:rFonts w:ascii="標楷體" w:eastAsia="標楷體" w:hAnsi="標楷體"/>
          <w:b/>
          <w:sz w:val="28"/>
          <w:szCs w:val="28"/>
        </w:rPr>
      </w:pPr>
      <w:r>
        <w:rPr>
          <w:rFonts w:ascii="標楷體" w:eastAsia="標楷體" w:hAnsi="標楷體"/>
          <w:b/>
          <w:sz w:val="28"/>
          <w:szCs w:val="28"/>
        </w:rPr>
        <w:t>教育部</w:t>
      </w:r>
    </w:p>
    <w:p w14:paraId="590CD1ED" w14:textId="77777777" w:rsidR="00E45FC8" w:rsidRDefault="00E36130">
      <w:pPr>
        <w:pStyle w:val="af1"/>
        <w:spacing w:line="0" w:lineRule="atLeast"/>
        <w:ind w:left="1" w:right="-427" w:hanging="426"/>
        <w:jc w:val="center"/>
        <w:rPr>
          <w:rFonts w:ascii="標楷體" w:eastAsia="標楷體" w:hAnsi="標楷體"/>
          <w:b/>
          <w:spacing w:val="-8"/>
          <w:szCs w:val="28"/>
        </w:rPr>
      </w:pPr>
      <w:r>
        <w:rPr>
          <w:rFonts w:ascii="標楷體" w:eastAsia="標楷體" w:hAnsi="標楷體"/>
          <w:b/>
          <w:spacing w:val="-8"/>
          <w:szCs w:val="28"/>
        </w:rPr>
        <w:t>立法院審議中央政府總預算案附屬單位預算所提決議及附帶決議辦理情形報告表</w:t>
      </w:r>
    </w:p>
    <w:p w14:paraId="5BDE672F" w14:textId="77777777" w:rsidR="00E45FC8" w:rsidRDefault="00E36130">
      <w:pPr>
        <w:jc w:val="center"/>
      </w:pPr>
      <w:r>
        <w:rPr>
          <w:rFonts w:ascii="標楷體" w:eastAsia="標楷體" w:hAnsi="標楷體"/>
          <w:b/>
        </w:rPr>
        <w:t>中華民國　113</w:t>
      </w:r>
      <w:r>
        <w:rPr>
          <w:rFonts w:ascii="標楷體" w:eastAsia="標楷體" w:hAnsi="標楷體"/>
        </w:rPr>
        <w:t xml:space="preserve">　</w:t>
      </w:r>
      <w:r>
        <w:rPr>
          <w:rFonts w:ascii="標楷體" w:eastAsia="標楷體" w:hAnsi="標楷體"/>
          <w:b/>
          <w:bCs/>
        </w:rPr>
        <w:t>年度</w:t>
      </w:r>
    </w:p>
    <w:tbl>
      <w:tblPr>
        <w:tblW w:w="9908" w:type="dxa"/>
        <w:tblInd w:w="-5" w:type="dxa"/>
        <w:tblLayout w:type="fixed"/>
        <w:tblLook w:val="0000" w:firstRow="0" w:lastRow="0" w:firstColumn="0" w:lastColumn="0" w:noHBand="0" w:noVBand="0"/>
      </w:tblPr>
      <w:tblGrid>
        <w:gridCol w:w="724"/>
        <w:gridCol w:w="4648"/>
        <w:gridCol w:w="4536"/>
      </w:tblGrid>
      <w:tr w:rsidR="00E45FC8" w14:paraId="2B424EE2" w14:textId="77777777">
        <w:trPr>
          <w:trHeight w:val="552"/>
          <w:tblHeader/>
        </w:trPr>
        <w:tc>
          <w:tcPr>
            <w:tcW w:w="5372" w:type="dxa"/>
            <w:gridSpan w:val="2"/>
            <w:tcBorders>
              <w:top w:val="single" w:sz="4" w:space="0" w:color="000000"/>
              <w:left w:val="single" w:sz="4" w:space="0" w:color="000000"/>
              <w:bottom w:val="single" w:sz="4" w:space="0" w:color="000000"/>
            </w:tcBorders>
            <w:vAlign w:val="center"/>
          </w:tcPr>
          <w:p w14:paraId="7E295A1A" w14:textId="77777777" w:rsidR="00E45FC8" w:rsidRDefault="00E36130">
            <w:pPr>
              <w:spacing w:line="0" w:lineRule="atLeast"/>
              <w:jc w:val="center"/>
              <w:rPr>
                <w:rFonts w:ascii="標楷體" w:eastAsia="標楷體" w:hAnsi="標楷體"/>
              </w:rPr>
            </w:pPr>
            <w:r>
              <w:rPr>
                <w:rFonts w:ascii="標楷體" w:eastAsia="標楷體" w:hAnsi="標楷體"/>
              </w:rPr>
              <w:t>決議及附帶決議</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13728418" w14:textId="77777777" w:rsidR="00E45FC8" w:rsidRDefault="00E36130">
            <w:pPr>
              <w:spacing w:line="0" w:lineRule="atLeast"/>
              <w:jc w:val="center"/>
              <w:rPr>
                <w:rFonts w:ascii="標楷體" w:eastAsia="標楷體" w:hAnsi="標楷體"/>
              </w:rPr>
            </w:pPr>
            <w:r>
              <w:rPr>
                <w:rFonts w:ascii="標楷體" w:eastAsia="標楷體" w:hAnsi="標楷體"/>
              </w:rPr>
              <w:t>辦理情形</w:t>
            </w:r>
          </w:p>
        </w:tc>
      </w:tr>
      <w:tr w:rsidR="00E45FC8" w14:paraId="7BA3B9D7" w14:textId="77777777">
        <w:trPr>
          <w:trHeight w:val="518"/>
          <w:tblHeader/>
        </w:trPr>
        <w:tc>
          <w:tcPr>
            <w:tcW w:w="724" w:type="dxa"/>
            <w:tcBorders>
              <w:top w:val="single" w:sz="4" w:space="0" w:color="000000"/>
              <w:left w:val="single" w:sz="4" w:space="0" w:color="000000"/>
              <w:bottom w:val="single" w:sz="4" w:space="0" w:color="000000"/>
            </w:tcBorders>
            <w:vAlign w:val="center"/>
          </w:tcPr>
          <w:p w14:paraId="29D8F67D" w14:textId="77777777" w:rsidR="00E45FC8" w:rsidRDefault="00E36130">
            <w:pPr>
              <w:spacing w:line="0" w:lineRule="atLeast"/>
              <w:jc w:val="both"/>
              <w:rPr>
                <w:rFonts w:ascii="標楷體" w:eastAsia="標楷體" w:hAnsi="標楷體"/>
              </w:rPr>
            </w:pPr>
            <w:r>
              <w:rPr>
                <w:rFonts w:ascii="標楷體" w:eastAsia="標楷體" w:hAnsi="標楷體"/>
              </w:rPr>
              <w:t>項次</w:t>
            </w:r>
          </w:p>
        </w:tc>
        <w:tc>
          <w:tcPr>
            <w:tcW w:w="4648" w:type="dxa"/>
            <w:tcBorders>
              <w:top w:val="single" w:sz="4" w:space="0" w:color="000000"/>
              <w:left w:val="single" w:sz="4" w:space="0" w:color="000000"/>
              <w:bottom w:val="single" w:sz="4" w:space="0" w:color="000000"/>
            </w:tcBorders>
            <w:vAlign w:val="center"/>
          </w:tcPr>
          <w:p w14:paraId="0374F0B5" w14:textId="77777777" w:rsidR="00E45FC8" w:rsidRDefault="00E36130">
            <w:pPr>
              <w:spacing w:line="0" w:lineRule="atLeast"/>
              <w:jc w:val="center"/>
              <w:rPr>
                <w:rFonts w:ascii="標楷體" w:eastAsia="標楷體" w:hAnsi="標楷體"/>
              </w:rPr>
            </w:pPr>
            <w:r>
              <w:rPr>
                <w:rFonts w:ascii="標楷體" w:eastAsia="標楷體" w:hAnsi="標楷體"/>
              </w:rPr>
              <w:t>內容</w:t>
            </w: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3842F452" w14:textId="77777777" w:rsidR="00E45FC8" w:rsidRDefault="00E45FC8"/>
        </w:tc>
      </w:tr>
      <w:tr w:rsidR="00E45FC8" w14:paraId="27510B8E" w14:textId="77777777">
        <w:tc>
          <w:tcPr>
            <w:tcW w:w="9908" w:type="dxa"/>
            <w:gridSpan w:val="3"/>
            <w:tcBorders>
              <w:top w:val="single" w:sz="4" w:space="0" w:color="000000"/>
              <w:left w:val="single" w:sz="4" w:space="0" w:color="000000"/>
              <w:bottom w:val="single" w:sz="4" w:space="0" w:color="000000"/>
              <w:right w:val="single" w:sz="4" w:space="0" w:color="000000"/>
            </w:tcBorders>
          </w:tcPr>
          <w:p w14:paraId="531D54F5" w14:textId="77777777" w:rsidR="00E45FC8" w:rsidRDefault="00E36130">
            <w:pPr>
              <w:jc w:val="both"/>
              <w:rPr>
                <w:rFonts w:ascii="標楷體" w:eastAsia="標楷體" w:hAnsi="標楷體"/>
                <w:b/>
                <w:szCs w:val="24"/>
              </w:rPr>
            </w:pPr>
            <w:r>
              <w:rPr>
                <w:rFonts w:ascii="標楷體" w:eastAsia="標楷體" w:hAnsi="標楷體"/>
                <w:b/>
                <w:szCs w:val="24"/>
              </w:rPr>
              <w:t>壹、通案：</w:t>
            </w:r>
          </w:p>
        </w:tc>
      </w:tr>
      <w:tr w:rsidR="00E45FC8" w14:paraId="6A03C93B" w14:textId="77777777">
        <w:tc>
          <w:tcPr>
            <w:tcW w:w="724" w:type="dxa"/>
            <w:tcBorders>
              <w:top w:val="single" w:sz="4" w:space="0" w:color="000000"/>
              <w:left w:val="single" w:sz="4" w:space="0" w:color="000000"/>
              <w:bottom w:val="single" w:sz="4" w:space="0" w:color="000000"/>
              <w:right w:val="single" w:sz="4" w:space="0" w:color="000000"/>
            </w:tcBorders>
          </w:tcPr>
          <w:p w14:paraId="6B35042D" w14:textId="77777777" w:rsidR="00E45FC8" w:rsidRDefault="00E36130">
            <w:pPr>
              <w:jc w:val="center"/>
              <w:rPr>
                <w:rFonts w:ascii="標楷體" w:eastAsia="標楷體" w:hAnsi="標楷體"/>
                <w:szCs w:val="24"/>
              </w:rPr>
            </w:pPr>
            <w:r>
              <w:rPr>
                <w:rFonts w:ascii="標楷體" w:eastAsia="標楷體" w:hAnsi="標楷體"/>
                <w:szCs w:val="24"/>
              </w:rPr>
              <w:t>1.</w:t>
            </w:r>
          </w:p>
        </w:tc>
        <w:tc>
          <w:tcPr>
            <w:tcW w:w="464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EE1806" w14:textId="77777777" w:rsidR="00E45FC8" w:rsidRDefault="00E36130">
            <w:pPr>
              <w:rPr>
                <w:rFonts w:ascii="標楷體" w:eastAsia="標楷體" w:hAnsi="標楷體"/>
              </w:rPr>
            </w:pPr>
            <w:r>
              <w:rPr>
                <w:rFonts w:ascii="標楷體" w:eastAsia="標楷體" w:hAnsi="標楷體"/>
              </w:rPr>
              <w:t xml:space="preserve">    </w:t>
            </w:r>
            <w:r>
              <w:rPr>
                <w:rFonts w:ascii="標楷體" w:eastAsia="標楷體" w:hAnsi="標楷體"/>
                <w:szCs w:val="24"/>
              </w:rPr>
              <w:t>中</w:t>
            </w:r>
            <w:r>
              <w:rPr>
                <w:rFonts w:ascii="標楷體" w:eastAsia="標楷體" w:hAnsi="標楷體"/>
              </w:rPr>
              <w:t>華民國</w:t>
            </w:r>
            <w:proofErr w:type="gramStart"/>
            <w:r>
              <w:rPr>
                <w:rFonts w:ascii="標楷體" w:eastAsia="標楷體" w:hAnsi="標楷體"/>
              </w:rPr>
              <w:t>113</w:t>
            </w:r>
            <w:proofErr w:type="gramEnd"/>
            <w:r>
              <w:rPr>
                <w:rFonts w:ascii="標楷體" w:eastAsia="標楷體" w:hAnsi="標楷體"/>
              </w:rPr>
              <w:t>年度中央政府總預算案附屬單位預算營業及非營業部分審查總報告所列未送院會處理項目，除確有窒礙難行者再協商，依協商結論通過外，其餘</w:t>
            </w:r>
            <w:proofErr w:type="gramStart"/>
            <w:r>
              <w:rPr>
                <w:rFonts w:ascii="標楷體" w:eastAsia="標楷體" w:hAnsi="標楷體"/>
              </w:rPr>
              <w:t>均照各</w:t>
            </w:r>
            <w:proofErr w:type="gramEnd"/>
            <w:r>
              <w:rPr>
                <w:rFonts w:ascii="標楷體" w:eastAsia="標楷體" w:hAnsi="標楷體"/>
              </w:rPr>
              <w:t>委員會審查會議決議通過。至送院會處理項目，協商有結論者，依協商結論通過；協商未獲結論者，交付表決，並依表決結果通過。</w:t>
            </w:r>
          </w:p>
        </w:tc>
        <w:tc>
          <w:tcPr>
            <w:tcW w:w="453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1C8AC1" w14:textId="77777777" w:rsidR="00E45FC8" w:rsidRDefault="00E36130">
            <w:pPr>
              <w:jc w:val="both"/>
              <w:rPr>
                <w:rFonts w:ascii="標楷體" w:eastAsia="標楷體" w:hAnsi="標楷體"/>
                <w:szCs w:val="24"/>
              </w:rPr>
            </w:pPr>
            <w:r>
              <w:rPr>
                <w:rFonts w:ascii="標楷體" w:eastAsia="標楷體" w:hAnsi="標楷體"/>
                <w:szCs w:val="24"/>
              </w:rPr>
              <w:t>配合決議事項辦理。</w:t>
            </w:r>
          </w:p>
        </w:tc>
      </w:tr>
      <w:tr w:rsidR="00E45FC8" w14:paraId="7ABEEB9C" w14:textId="77777777">
        <w:tc>
          <w:tcPr>
            <w:tcW w:w="724" w:type="dxa"/>
            <w:tcBorders>
              <w:top w:val="single" w:sz="4" w:space="0" w:color="000000"/>
              <w:left w:val="single" w:sz="4" w:space="0" w:color="000000"/>
              <w:bottom w:val="single" w:sz="4" w:space="0" w:color="000000"/>
              <w:right w:val="single" w:sz="4" w:space="0" w:color="000000"/>
            </w:tcBorders>
          </w:tcPr>
          <w:p w14:paraId="2E4BC256" w14:textId="77777777" w:rsidR="00E45FC8" w:rsidRDefault="00E36130">
            <w:pPr>
              <w:jc w:val="center"/>
              <w:rPr>
                <w:rFonts w:ascii="標楷體" w:eastAsia="標楷體" w:hAnsi="標楷體"/>
                <w:szCs w:val="24"/>
              </w:rPr>
            </w:pPr>
            <w:r>
              <w:rPr>
                <w:rFonts w:ascii="標楷體" w:eastAsia="標楷體" w:hAnsi="標楷體"/>
                <w:szCs w:val="24"/>
              </w:rPr>
              <w:t>2.</w:t>
            </w:r>
          </w:p>
        </w:tc>
        <w:tc>
          <w:tcPr>
            <w:tcW w:w="464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B6B3848" w14:textId="77777777" w:rsidR="00E45FC8" w:rsidRDefault="00E36130">
            <w:pPr>
              <w:ind w:firstLine="504"/>
              <w:jc w:val="both"/>
              <w:rPr>
                <w:rFonts w:ascii="標楷體" w:eastAsia="標楷體" w:hAnsi="標楷體"/>
              </w:rPr>
            </w:pPr>
            <w:r>
              <w:rPr>
                <w:rFonts w:ascii="標楷體" w:eastAsia="標楷體" w:hAnsi="標楷體"/>
                <w:szCs w:val="24"/>
              </w:rPr>
              <w:t>各委員會審查結果協商結論，</w:t>
            </w:r>
            <w:proofErr w:type="gramStart"/>
            <w:r>
              <w:rPr>
                <w:rFonts w:ascii="標楷體" w:eastAsia="標楷體" w:hAnsi="標楷體"/>
                <w:szCs w:val="24"/>
              </w:rPr>
              <w:t>均應依通</w:t>
            </w:r>
            <w:proofErr w:type="gramEnd"/>
            <w:r>
              <w:rPr>
                <w:rFonts w:ascii="標楷體" w:eastAsia="標楷體" w:hAnsi="標楷體"/>
                <w:szCs w:val="24"/>
              </w:rPr>
              <w:t>案決議辦理，不再逐一於各單位協商</w:t>
            </w:r>
            <w:r>
              <w:rPr>
                <w:rFonts w:ascii="標楷體" w:eastAsia="標楷體" w:hAnsi="標楷體"/>
              </w:rPr>
              <w:t>結果敘明。</w:t>
            </w:r>
          </w:p>
        </w:tc>
        <w:tc>
          <w:tcPr>
            <w:tcW w:w="453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5AF03B" w14:textId="77777777" w:rsidR="00E45FC8" w:rsidRDefault="00E36130">
            <w:pPr>
              <w:jc w:val="both"/>
              <w:rPr>
                <w:rFonts w:ascii="標楷體" w:eastAsia="標楷體" w:hAnsi="標楷體"/>
                <w:szCs w:val="24"/>
              </w:rPr>
            </w:pPr>
            <w:r>
              <w:rPr>
                <w:rFonts w:ascii="標楷體" w:eastAsia="標楷體" w:hAnsi="標楷體"/>
                <w:szCs w:val="24"/>
              </w:rPr>
              <w:t>配合決議事項辦理。</w:t>
            </w:r>
          </w:p>
        </w:tc>
      </w:tr>
      <w:tr w:rsidR="00E45FC8" w14:paraId="11417BC5" w14:textId="77777777">
        <w:tc>
          <w:tcPr>
            <w:tcW w:w="724" w:type="dxa"/>
            <w:tcBorders>
              <w:left w:val="single" w:sz="4" w:space="0" w:color="000000"/>
              <w:bottom w:val="single" w:sz="4" w:space="0" w:color="000000"/>
              <w:right w:val="single" w:sz="4" w:space="0" w:color="000000"/>
            </w:tcBorders>
          </w:tcPr>
          <w:p w14:paraId="0961BA42" w14:textId="77777777" w:rsidR="00E45FC8" w:rsidRDefault="00E36130">
            <w:pPr>
              <w:jc w:val="center"/>
              <w:rPr>
                <w:rFonts w:ascii="標楷體" w:eastAsia="標楷體" w:hAnsi="標楷體"/>
                <w:szCs w:val="24"/>
              </w:rPr>
            </w:pPr>
            <w:r>
              <w:rPr>
                <w:rFonts w:ascii="標楷體" w:eastAsia="標楷體" w:hAnsi="標楷體"/>
                <w:szCs w:val="24"/>
              </w:rPr>
              <w:t>3.</w:t>
            </w:r>
          </w:p>
        </w:tc>
        <w:tc>
          <w:tcPr>
            <w:tcW w:w="4648" w:type="dxa"/>
            <w:tcBorders>
              <w:left w:val="single" w:sz="4" w:space="0" w:color="000000"/>
              <w:bottom w:val="single" w:sz="4" w:space="0" w:color="000000"/>
              <w:right w:val="single" w:sz="4" w:space="0" w:color="000000"/>
            </w:tcBorders>
            <w:tcMar>
              <w:left w:w="10" w:type="dxa"/>
              <w:right w:w="10" w:type="dxa"/>
            </w:tcMar>
          </w:tcPr>
          <w:p w14:paraId="05332FC0" w14:textId="77777777" w:rsidR="00E45FC8" w:rsidRDefault="00E36130">
            <w:pPr>
              <w:ind w:firstLine="504"/>
              <w:jc w:val="both"/>
              <w:rPr>
                <w:rFonts w:ascii="標楷體" w:eastAsia="標楷體" w:hAnsi="標楷體"/>
              </w:rPr>
            </w:pPr>
            <w:r>
              <w:rPr>
                <w:rFonts w:ascii="標楷體" w:eastAsia="標楷體" w:hAnsi="標楷體"/>
              </w:rPr>
              <w:t>有</w:t>
            </w:r>
            <w:proofErr w:type="gramStart"/>
            <w:r>
              <w:rPr>
                <w:rFonts w:ascii="標楷體" w:eastAsia="標楷體" w:hAnsi="標楷體"/>
              </w:rPr>
              <w:t>鑑</w:t>
            </w:r>
            <w:proofErr w:type="gramEnd"/>
            <w:r>
              <w:rPr>
                <w:rFonts w:ascii="標楷體" w:eastAsia="標楷體" w:hAnsi="標楷體"/>
              </w:rPr>
              <w:t>於部分作業基金收支失衡，常年短</w:t>
            </w:r>
            <w:proofErr w:type="gramStart"/>
            <w:r>
              <w:rPr>
                <w:rFonts w:ascii="標楷體" w:eastAsia="標楷體" w:hAnsi="標楷體"/>
              </w:rPr>
              <w:t>絀</w:t>
            </w:r>
            <w:proofErr w:type="gramEnd"/>
            <w:r>
              <w:rPr>
                <w:rFonts w:ascii="標楷體" w:eastAsia="標楷體" w:hAnsi="標楷體"/>
              </w:rPr>
              <w:t>，迄</w:t>
            </w:r>
            <w:proofErr w:type="gramStart"/>
            <w:r>
              <w:rPr>
                <w:rFonts w:ascii="標楷體" w:eastAsia="標楷體" w:hAnsi="標楷體"/>
              </w:rPr>
              <w:t>113</w:t>
            </w:r>
            <w:proofErr w:type="gramEnd"/>
            <w:r>
              <w:rPr>
                <w:rFonts w:ascii="標楷體" w:eastAsia="標楷體" w:hAnsi="標楷體"/>
              </w:rPr>
              <w:t>年度預算案累積1,476億元短</w:t>
            </w:r>
            <w:proofErr w:type="gramStart"/>
            <w:r>
              <w:rPr>
                <w:rFonts w:ascii="標楷體" w:eastAsia="標楷體" w:hAnsi="標楷體"/>
              </w:rPr>
              <w:t>絀</w:t>
            </w:r>
            <w:proofErr w:type="gramEnd"/>
            <w:r>
              <w:rPr>
                <w:rFonts w:ascii="標楷體" w:eastAsia="標楷體" w:hAnsi="標楷體"/>
              </w:rPr>
              <w:t>待填補，亟待提升營運效能。</w:t>
            </w:r>
            <w:proofErr w:type="gramStart"/>
            <w:r>
              <w:rPr>
                <w:rFonts w:ascii="標楷體" w:eastAsia="標楷體" w:hAnsi="標楷體"/>
              </w:rPr>
              <w:t>爰</w:t>
            </w:r>
            <w:proofErr w:type="gramEnd"/>
            <w:r>
              <w:rPr>
                <w:rFonts w:ascii="標楷體" w:eastAsia="標楷體" w:hAnsi="標楷體"/>
              </w:rPr>
              <w:t>要求行政院主計總處查核基金短</w:t>
            </w:r>
            <w:proofErr w:type="gramStart"/>
            <w:r>
              <w:rPr>
                <w:rFonts w:ascii="標楷體" w:eastAsia="標楷體" w:hAnsi="標楷體"/>
              </w:rPr>
              <w:t>絀</w:t>
            </w:r>
            <w:proofErr w:type="gramEnd"/>
            <w:r>
              <w:rPr>
                <w:rFonts w:ascii="標楷體" w:eastAsia="標楷體" w:hAnsi="標楷體"/>
              </w:rPr>
              <w:t>（不含校務基金）連續達2年以上者，檢討是否依設立目的，自給自足，力求賸餘，並提出改善策略，及為避免造成政府財政隱憂，以健全基金財務，於3個月內向立法院財政委員會提出書面報告（包括倘國庫終止撥補之影響評估）。</w:t>
            </w:r>
          </w:p>
        </w:tc>
        <w:tc>
          <w:tcPr>
            <w:tcW w:w="4536" w:type="dxa"/>
            <w:tcBorders>
              <w:left w:val="single" w:sz="4" w:space="0" w:color="000000"/>
              <w:bottom w:val="single" w:sz="4" w:space="0" w:color="000000"/>
              <w:right w:val="single" w:sz="4" w:space="0" w:color="000000"/>
            </w:tcBorders>
            <w:tcMar>
              <w:left w:w="10" w:type="dxa"/>
              <w:right w:w="10" w:type="dxa"/>
            </w:tcMar>
          </w:tcPr>
          <w:p w14:paraId="17BB8DF4" w14:textId="77777777" w:rsidR="00E45FC8" w:rsidRDefault="00E36130">
            <w:pPr>
              <w:jc w:val="both"/>
              <w:rPr>
                <w:rFonts w:ascii="標楷體" w:eastAsia="標楷體" w:hAnsi="標楷體"/>
                <w:szCs w:val="24"/>
              </w:rPr>
            </w:pPr>
            <w:r>
              <w:rPr>
                <w:rFonts w:ascii="標楷體" w:eastAsia="標楷體" w:hAnsi="標楷體"/>
                <w:szCs w:val="24"/>
              </w:rPr>
              <w:t>本項無本校應辦理事項。</w:t>
            </w:r>
          </w:p>
        </w:tc>
      </w:tr>
      <w:tr w:rsidR="00E45FC8" w14:paraId="52011D65" w14:textId="77777777">
        <w:tc>
          <w:tcPr>
            <w:tcW w:w="724" w:type="dxa"/>
            <w:tcBorders>
              <w:left w:val="single" w:sz="4" w:space="0" w:color="000000"/>
              <w:bottom w:val="single" w:sz="4" w:space="0" w:color="000000"/>
              <w:right w:val="single" w:sz="4" w:space="0" w:color="000000"/>
            </w:tcBorders>
          </w:tcPr>
          <w:p w14:paraId="1835FBE7" w14:textId="77777777" w:rsidR="00E45FC8" w:rsidRDefault="00E36130">
            <w:pPr>
              <w:jc w:val="center"/>
              <w:rPr>
                <w:rFonts w:ascii="標楷體" w:eastAsia="標楷體" w:hAnsi="標楷體"/>
                <w:szCs w:val="24"/>
              </w:rPr>
            </w:pPr>
            <w:r>
              <w:rPr>
                <w:rFonts w:ascii="標楷體" w:eastAsia="標楷體" w:hAnsi="標楷體"/>
                <w:szCs w:val="24"/>
              </w:rPr>
              <w:t>4.</w:t>
            </w:r>
          </w:p>
        </w:tc>
        <w:tc>
          <w:tcPr>
            <w:tcW w:w="4648" w:type="dxa"/>
            <w:tcBorders>
              <w:left w:val="single" w:sz="4" w:space="0" w:color="000000"/>
              <w:bottom w:val="single" w:sz="4" w:space="0" w:color="000000"/>
              <w:right w:val="single" w:sz="4" w:space="0" w:color="000000"/>
            </w:tcBorders>
            <w:tcMar>
              <w:left w:w="10" w:type="dxa"/>
              <w:right w:w="10" w:type="dxa"/>
            </w:tcMar>
          </w:tcPr>
          <w:p w14:paraId="6A0D7D65" w14:textId="77777777" w:rsidR="00E45FC8" w:rsidRDefault="00E36130">
            <w:pPr>
              <w:ind w:firstLine="504"/>
              <w:jc w:val="both"/>
              <w:rPr>
                <w:rFonts w:ascii="標楷體" w:eastAsia="標楷體" w:hAnsi="標楷體"/>
              </w:rPr>
            </w:pPr>
            <w:r>
              <w:rPr>
                <w:rFonts w:ascii="標楷體" w:eastAsia="標楷體" w:hAnsi="標楷體"/>
              </w:rPr>
              <w:t>有</w:t>
            </w:r>
            <w:proofErr w:type="gramStart"/>
            <w:r>
              <w:rPr>
                <w:rFonts w:ascii="標楷體" w:eastAsia="標楷體" w:hAnsi="標楷體"/>
              </w:rPr>
              <w:t>鑑</w:t>
            </w:r>
            <w:proofErr w:type="gramEnd"/>
            <w:r>
              <w:rPr>
                <w:rFonts w:ascii="標楷體" w:eastAsia="標楷體" w:hAnsi="標楷體"/>
              </w:rPr>
              <w:t>於我國自86年起推動醫藥分業政策，並隨後於99年推動慢性病連續處方</w:t>
            </w:r>
            <w:proofErr w:type="gramStart"/>
            <w:r>
              <w:rPr>
                <w:rFonts w:ascii="標楷體" w:eastAsia="標楷體" w:hAnsi="標楷體"/>
              </w:rPr>
              <w:t>箋</w:t>
            </w:r>
            <w:proofErr w:type="gramEnd"/>
            <w:r>
              <w:rPr>
                <w:rFonts w:ascii="標楷體" w:eastAsia="標楷體" w:hAnsi="標楷體"/>
              </w:rPr>
              <w:t>釋出政策，有助於提升患者用藥便利性與安全性。根據統計，我國6家公立醫學中心（台大、成大、三總、北榮、中榮及高榮），於110年申報慢性處方</w:t>
            </w:r>
            <w:proofErr w:type="gramStart"/>
            <w:r>
              <w:rPr>
                <w:rFonts w:ascii="標楷體" w:eastAsia="標楷體" w:hAnsi="標楷體"/>
              </w:rPr>
              <w:t>箋</w:t>
            </w:r>
            <w:proofErr w:type="gramEnd"/>
            <w:r>
              <w:rPr>
                <w:rFonts w:ascii="標楷體" w:eastAsia="標楷體" w:hAnsi="標楷體"/>
              </w:rPr>
              <w:t>費用總共195億元，惟處方</w:t>
            </w:r>
            <w:proofErr w:type="gramStart"/>
            <w:r>
              <w:rPr>
                <w:rFonts w:ascii="標楷體" w:eastAsia="標楷體" w:hAnsi="標楷體"/>
              </w:rPr>
              <w:t>箋</w:t>
            </w:r>
            <w:proofErr w:type="gramEnd"/>
            <w:r>
              <w:rPr>
                <w:rFonts w:ascii="標楷體" w:eastAsia="標楷體" w:hAnsi="標楷體"/>
              </w:rPr>
              <w:t>釋出率僅約五成，尚有提升空間。處方釋出除可減少病患往返醫院的交通成本及掛號費，亦可透過社區藥局藥師提供的用藥指導，進一步保障患者用藥安全與衛教需求。</w:t>
            </w:r>
          </w:p>
          <w:p w14:paraId="2290798A" w14:textId="77777777" w:rsidR="00E45FC8" w:rsidRDefault="00E36130">
            <w:pPr>
              <w:ind w:firstLine="504"/>
              <w:jc w:val="both"/>
            </w:pPr>
            <w:r>
              <w:rPr>
                <w:rFonts w:ascii="標楷體" w:eastAsia="標楷體" w:hAnsi="標楷體"/>
              </w:rPr>
              <w:t>處方釋出能讓病患在住家附近的健保藥局領藥，減少醫院等待時間，並利於建立藥歷檔案，使藥師得以更周全地提供用藥諮詢，強化慢性病患者的健康管理與醫療支持。職是</w:t>
            </w:r>
            <w:proofErr w:type="gramStart"/>
            <w:r>
              <w:rPr>
                <w:rFonts w:ascii="標楷體" w:eastAsia="標楷體" w:hAnsi="標楷體"/>
              </w:rPr>
              <w:t>之</w:t>
            </w:r>
            <w:proofErr w:type="gramEnd"/>
            <w:r>
              <w:rPr>
                <w:rFonts w:ascii="標楷體" w:eastAsia="標楷體" w:hAnsi="標楷體"/>
              </w:rPr>
              <w:t>故，</w:t>
            </w:r>
            <w:proofErr w:type="gramStart"/>
            <w:r>
              <w:rPr>
                <w:rFonts w:ascii="標楷體" w:eastAsia="標楷體" w:hAnsi="標楷體"/>
              </w:rPr>
              <w:t>爰</w:t>
            </w:r>
            <w:proofErr w:type="gramEnd"/>
            <w:r>
              <w:rPr>
                <w:rFonts w:ascii="標楷體" w:eastAsia="標楷體" w:hAnsi="標楷體"/>
              </w:rPr>
              <w:t>建請衛生</w:t>
            </w:r>
            <w:proofErr w:type="gramStart"/>
            <w:r>
              <w:rPr>
                <w:rFonts w:ascii="標楷體" w:eastAsia="標楷體" w:hAnsi="標楷體"/>
              </w:rPr>
              <w:t>福利部於1個月內</w:t>
            </w:r>
            <w:proofErr w:type="gramEnd"/>
            <w:r>
              <w:rPr>
                <w:rFonts w:ascii="標楷體" w:eastAsia="標楷體" w:hAnsi="標楷體"/>
              </w:rPr>
              <w:t>邀集全國6家公立醫學中心、相關主管機關及團體</w:t>
            </w:r>
            <w:proofErr w:type="gramStart"/>
            <w:r>
              <w:rPr>
                <w:rFonts w:ascii="標楷體" w:eastAsia="標楷體" w:hAnsi="標楷體"/>
              </w:rPr>
              <w:t>研</w:t>
            </w:r>
            <w:proofErr w:type="gramEnd"/>
            <w:r>
              <w:rPr>
                <w:rFonts w:ascii="標楷體" w:eastAsia="標楷體" w:hAnsi="標楷體"/>
              </w:rPr>
              <w:t>議全面慢性處方</w:t>
            </w:r>
            <w:proofErr w:type="gramStart"/>
            <w:r>
              <w:rPr>
                <w:rFonts w:ascii="標楷體" w:eastAsia="標楷體" w:hAnsi="標楷體"/>
              </w:rPr>
              <w:t>箋</w:t>
            </w:r>
            <w:proofErr w:type="gramEnd"/>
            <w:r>
              <w:rPr>
                <w:rFonts w:ascii="標楷體" w:eastAsia="標楷體" w:hAnsi="標楷體"/>
              </w:rPr>
              <w:t>釋出，以期帶動全國醫療</w:t>
            </w:r>
            <w:r>
              <w:rPr>
                <w:rFonts w:ascii="細明體" w:eastAsia="標楷體" w:hAnsi="細明體"/>
              </w:rPr>
              <w:t>體系推動醫藥分業，確保民眾就近取得高品質的用藥服務，落實保障民眾的</w:t>
            </w:r>
            <w:r>
              <w:rPr>
                <w:rFonts w:ascii="細明體" w:eastAsia="標楷體" w:hAnsi="細明體"/>
              </w:rPr>
              <w:lastRenderedPageBreak/>
              <w:t>用藥權益，並進一步優化健保資源運用，促進全民健康福祉。</w:t>
            </w:r>
          </w:p>
          <w:p w14:paraId="1B93618D" w14:textId="77777777" w:rsidR="00E45FC8" w:rsidRDefault="00E45FC8">
            <w:pPr>
              <w:ind w:firstLine="504"/>
              <w:jc w:val="both"/>
              <w:rPr>
                <w:rFonts w:ascii="細明體" w:eastAsia="標楷體" w:hAnsi="細明體"/>
              </w:rPr>
            </w:pPr>
          </w:p>
        </w:tc>
        <w:tc>
          <w:tcPr>
            <w:tcW w:w="4536" w:type="dxa"/>
            <w:tcBorders>
              <w:left w:val="single" w:sz="4" w:space="0" w:color="000000"/>
              <w:bottom w:val="single" w:sz="4" w:space="0" w:color="000000"/>
              <w:right w:val="single" w:sz="4" w:space="0" w:color="000000"/>
            </w:tcBorders>
            <w:tcMar>
              <w:left w:w="10" w:type="dxa"/>
              <w:right w:w="10" w:type="dxa"/>
            </w:tcMar>
          </w:tcPr>
          <w:p w14:paraId="00121D77" w14:textId="77777777" w:rsidR="00E45FC8" w:rsidRDefault="00E36130">
            <w:pPr>
              <w:jc w:val="both"/>
              <w:rPr>
                <w:rFonts w:ascii="標楷體" w:eastAsia="標楷體" w:hAnsi="標楷體"/>
                <w:szCs w:val="24"/>
              </w:rPr>
            </w:pPr>
            <w:r>
              <w:rPr>
                <w:rFonts w:ascii="標楷體" w:eastAsia="標楷體" w:hAnsi="標楷體"/>
                <w:szCs w:val="24"/>
              </w:rPr>
              <w:lastRenderedPageBreak/>
              <w:t>本項無本校應辦理事項。</w:t>
            </w:r>
          </w:p>
        </w:tc>
      </w:tr>
    </w:tbl>
    <w:p w14:paraId="5A5DC274" w14:textId="77777777" w:rsidR="00E45FC8" w:rsidRDefault="00E45FC8">
      <w:pPr>
        <w:rPr>
          <w:rFonts w:ascii="標楷體" w:eastAsia="標楷體" w:hAnsi="標楷體"/>
        </w:rPr>
      </w:pPr>
    </w:p>
    <w:sectPr w:rsidR="00E45FC8">
      <w:footerReference w:type="default" r:id="rId7"/>
      <w:pgSz w:w="11906" w:h="16838"/>
      <w:pgMar w:top="720" w:right="1134" w:bottom="1134" w:left="1134" w:header="0" w:footer="992"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BC7D" w14:textId="77777777" w:rsidR="002D5811" w:rsidRDefault="002D5811">
      <w:r>
        <w:separator/>
      </w:r>
    </w:p>
  </w:endnote>
  <w:endnote w:type="continuationSeparator" w:id="0">
    <w:p w14:paraId="74EDCAA6" w14:textId="77777777" w:rsidR="002D5811" w:rsidRDefault="002D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4002EFF" w:usb1="C200247B" w:usb2="00000009" w:usb3="00000000" w:csb0="000001FF" w:csb1="00000000"/>
  </w:font>
  <w:font w:name="新細明體;PMingLiU">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細明體;MingLiU">
    <w:panose1 w:val="00000000000000000000"/>
    <w:charset w:val="88"/>
    <w:family w:val="roman"/>
    <w:notTrueType/>
    <w:pitch w:val="default"/>
  </w:font>
  <w:font w:name="sөũ;Times New Roman">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Source Han Sans">
    <w:charset w:val="00"/>
    <w:family w:val="auto"/>
    <w:pitch w:val="variable"/>
  </w:font>
  <w:font w:name="????;PMingLiU">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D303" w14:textId="77777777" w:rsidR="00E45FC8" w:rsidRDefault="00E36130">
    <w:pPr>
      <w:pStyle w:val="af0"/>
      <w:jc w:val="center"/>
    </w:pPr>
    <w:r>
      <w:fldChar w:fldCharType="begin"/>
    </w:r>
    <w:r>
      <w:instrText xml:space="preserve"> PAGE </w:instrText>
    </w:r>
    <w:r>
      <w:fldChar w:fldCharType="separate"/>
    </w:r>
    <w:r>
      <w:t>7</w:t>
    </w:r>
    <w:r>
      <w:fldChar w:fldCharType="end"/>
    </w:r>
  </w:p>
  <w:p w14:paraId="69BFFAF8" w14:textId="77777777" w:rsidR="00E45FC8" w:rsidRDefault="00E45F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47CE" w14:textId="77777777" w:rsidR="002D5811" w:rsidRDefault="002D5811">
      <w:r>
        <w:separator/>
      </w:r>
    </w:p>
  </w:footnote>
  <w:footnote w:type="continuationSeparator" w:id="0">
    <w:p w14:paraId="206C672B" w14:textId="77777777" w:rsidR="002D5811" w:rsidRDefault="002D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EC"/>
    <w:multiLevelType w:val="multilevel"/>
    <w:tmpl w:val="AA0AC9EC"/>
    <w:lvl w:ilvl="0">
      <w:start w:val="1"/>
      <w:numFmt w:val="none"/>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7F45E0D"/>
    <w:multiLevelType w:val="multilevel"/>
    <w:tmpl w:val="CCFC9838"/>
    <w:lvl w:ilvl="0">
      <w:start w:val="1"/>
      <w:numFmt w:val="taiwaneseCountingThousand"/>
      <w:pStyle w:val="a"/>
      <w:suff w:val="nothing"/>
      <w:lvlText w:val="%1、"/>
      <w:lvlJc w:val="left"/>
      <w:pPr>
        <w:tabs>
          <w:tab w:val="num" w:pos="0"/>
        </w:tabs>
        <w:ind w:left="890" w:hanging="606"/>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1">
      <w:start w:val="1"/>
      <w:numFmt w:val="taiwaneseCountingThousand"/>
      <w:suff w:val="nothing"/>
      <w:lvlText w:val="（%2）"/>
      <w:lvlJc w:val="left"/>
      <w:pPr>
        <w:tabs>
          <w:tab w:val="num" w:pos="0"/>
        </w:tabs>
        <w:ind w:left="1531" w:hanging="907"/>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2">
      <w:start w:val="1"/>
      <w:numFmt w:val="decimal"/>
      <w:suff w:val="nothing"/>
      <w:lvlText w:val="%3、"/>
      <w:lvlJc w:val="left"/>
      <w:pPr>
        <w:tabs>
          <w:tab w:val="num" w:pos="0"/>
        </w:tabs>
        <w:ind w:left="1537" w:hanging="601"/>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3">
      <w:start w:val="1"/>
      <w:numFmt w:val="decimal"/>
      <w:suff w:val="nothing"/>
      <w:lvlText w:val="（%4）"/>
      <w:lvlJc w:val="left"/>
      <w:pPr>
        <w:tabs>
          <w:tab w:val="num" w:pos="0"/>
        </w:tabs>
        <w:ind w:left="2172" w:hanging="896"/>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4">
      <w:start w:val="1"/>
      <w:numFmt w:val="ideographTraditional"/>
      <w:suff w:val="nothing"/>
      <w:lvlText w:val="%5、"/>
      <w:lvlJc w:val="left"/>
      <w:pPr>
        <w:tabs>
          <w:tab w:val="num" w:pos="0"/>
        </w:tabs>
        <w:ind w:left="2172" w:hanging="590"/>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5">
      <w:start w:val="1"/>
      <w:numFmt w:val="ideographTraditional"/>
      <w:suff w:val="nothing"/>
      <w:lvlText w:val="（%6）"/>
      <w:lvlJc w:val="left"/>
      <w:pPr>
        <w:tabs>
          <w:tab w:val="num" w:pos="0"/>
        </w:tabs>
        <w:ind w:left="2778" w:hanging="907"/>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6">
      <w:start w:val="1"/>
      <w:numFmt w:val="ideographZodiac"/>
      <w:lvlText w:val="%7、"/>
      <w:lvlJc w:val="left"/>
      <w:pPr>
        <w:tabs>
          <w:tab w:val="num" w:pos="0"/>
        </w:tabs>
        <w:ind w:left="3827" w:hanging="1276"/>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7">
      <w:start w:val="1"/>
      <w:numFmt w:val="ideographZodiac"/>
      <w:lvlText w:val="（%8）"/>
      <w:lvlJc w:val="left"/>
      <w:pPr>
        <w:tabs>
          <w:tab w:val="num" w:pos="0"/>
        </w:tabs>
        <w:ind w:left="4394" w:hanging="1418"/>
      </w:pPr>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lvl>
    <w:lvl w:ilvl="8">
      <w:start w:val="1"/>
      <w:numFmt w:val="none"/>
      <w:suff w:val="nothing"/>
      <w:lvlText w:val="%9"/>
      <w:lvlJc w:val="left"/>
      <w:pPr>
        <w:tabs>
          <w:tab w:val="num" w:pos="0"/>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C8"/>
    <w:rsid w:val="002D5811"/>
    <w:rsid w:val="007D0C05"/>
    <w:rsid w:val="009849EF"/>
    <w:rsid w:val="00E36130"/>
    <w:rsid w:val="00E45F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4AB0"/>
  <w15:docId w15:val="{C8C69A96-45F6-40DC-BB00-8E22930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2"/>
        <w:sz w:val="24"/>
        <w:szCs w:val="24"/>
        <w:lang w:val="en-US" w:eastAsia="zh-TW"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Calibri" w:eastAsia="新細明體;PMingLiU" w:hAnsi="Calibri" w:cs="Times New Roman"/>
      <w:szCs w:val="22"/>
      <w:lang w:bidi="ar-SA"/>
    </w:rPr>
  </w:style>
  <w:style w:type="paragraph" w:styleId="2">
    <w:name w:val="heading 2"/>
    <w:basedOn w:val="a0"/>
    <w:next w:val="a0"/>
    <w:uiPriority w:val="9"/>
    <w:semiHidden/>
    <w:unhideWhenUsed/>
    <w:qFormat/>
    <w:pPr>
      <w:keepNext/>
      <w:numPr>
        <w:ilvl w:val="1"/>
        <w:numId w:val="1"/>
      </w:numPr>
      <w:spacing w:line="720" w:lineRule="auto"/>
      <w:outlineLvl w:val="1"/>
    </w:pPr>
    <w:rPr>
      <w:rFonts w:ascii="Cambria"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新細明體;PMingLi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標楷體" w:eastAsia="標楷體" w:hAnsi="標楷體" w:cs="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cs="標楷體"/>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4">
    <w:name w:val="頁首 字元"/>
    <w:qFormat/>
    <w:rPr>
      <w:sz w:val="20"/>
      <w:szCs w:val="20"/>
    </w:rPr>
  </w:style>
  <w:style w:type="character" w:customStyle="1" w:styleId="a5">
    <w:name w:val="頁尾 字元"/>
    <w:qFormat/>
    <w:rPr>
      <w:sz w:val="20"/>
      <w:szCs w:val="20"/>
    </w:rPr>
  </w:style>
  <w:style w:type="character" w:customStyle="1" w:styleId="a6">
    <w:name w:val="純文字 字元"/>
    <w:qFormat/>
    <w:rPr>
      <w:rFonts w:ascii="細明體;MingLiU" w:eastAsia="細明體;MingLiU" w:hAnsi="細明體;MingLiU" w:cs="Times New Roman"/>
      <w:szCs w:val="20"/>
    </w:rPr>
  </w:style>
  <w:style w:type="character" w:customStyle="1" w:styleId="a7">
    <w:name w:val="第二層 字元 字元 字元"/>
    <w:qFormat/>
    <w:rPr>
      <w:rFonts w:ascii="標楷體" w:eastAsia="標楷體" w:hAnsi="標楷體" w:cs="Times New Roman"/>
      <w:b/>
      <w:bCs/>
      <w:sz w:val="28"/>
      <w:szCs w:val="28"/>
    </w:rPr>
  </w:style>
  <w:style w:type="character" w:customStyle="1" w:styleId="20">
    <w:name w:val="標題 2 字元"/>
    <w:qFormat/>
    <w:rPr>
      <w:rFonts w:ascii="Cambria" w:eastAsia="新細明體;PMingLiU" w:hAnsi="Cambria" w:cs="Times New Roman"/>
      <w:b/>
      <w:bCs/>
      <w:sz w:val="48"/>
      <w:szCs w:val="48"/>
    </w:rPr>
  </w:style>
  <w:style w:type="character" w:customStyle="1" w:styleId="ptname">
    <w:name w:val="ptname"/>
    <w:qFormat/>
  </w:style>
  <w:style w:type="character" w:customStyle="1" w:styleId="dialogtext1">
    <w:name w:val="dialog_text1"/>
    <w:qFormat/>
    <w:rPr>
      <w:rFonts w:ascii="sөũ;Times New Roman" w:eastAsia="sөũ;Times New Roman" w:hAnsi="sөũ;Times New Roman" w:cs="sөũ;Times New Roman"/>
      <w:color w:val="000000"/>
      <w:sz w:val="24"/>
      <w:szCs w:val="24"/>
    </w:rPr>
  </w:style>
  <w:style w:type="character" w:customStyle="1" w:styleId="HTML">
    <w:name w:val="HTML 預設格式 字元"/>
    <w:qFormat/>
    <w:rPr>
      <w:rFonts w:ascii="Courier New" w:eastAsia="Courier New" w:hAnsi="Courier New" w:cs="Courier New"/>
      <w:kern w:val="2"/>
    </w:rPr>
  </w:style>
  <w:style w:type="character" w:customStyle="1" w:styleId="a8">
    <w:name w:val="註解方塊文字 字元"/>
    <w:qFormat/>
    <w:rPr>
      <w:rFonts w:ascii="Cambria" w:eastAsia="新細明體;PMingLiU" w:hAnsi="Cambria" w:cs="Times New Roman"/>
      <w:kern w:val="2"/>
      <w:sz w:val="18"/>
      <w:szCs w:val="18"/>
    </w:rPr>
  </w:style>
  <w:style w:type="character" w:customStyle="1" w:styleId="a9">
    <w:name w:val="清單段落 字元"/>
    <w:qFormat/>
    <w:rPr>
      <w:kern w:val="2"/>
      <w:sz w:val="24"/>
      <w:szCs w:val="22"/>
    </w:rPr>
  </w:style>
  <w:style w:type="character" w:customStyle="1" w:styleId="WWCharLFO2LVL1">
    <w:name w:val="WW_CharLFO2LVL1"/>
    <w:qFormat/>
    <w:rPr>
      <w:rFonts w:cs="新細明體;PMingLiU"/>
    </w:rPr>
  </w:style>
  <w:style w:type="character" w:customStyle="1" w:styleId="WWCharLFO4LVL1">
    <w:name w:val="WW_CharLFO4LVL1"/>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2">
    <w:name w:val="WW_CharLFO4LVL2"/>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3">
    <w:name w:val="WW_CharLFO4LVL3"/>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4">
    <w:name w:val="WW_CharLFO4LVL4"/>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5">
    <w:name w:val="WW_CharLFO4LVL5"/>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6">
    <w:name w:val="WW_CharLFO4LVL6"/>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7">
    <w:name w:val="WW_CharLFO4LVL7"/>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4LVL8">
    <w:name w:val="WW_CharLFO4LVL8"/>
    <w:qFormat/>
    <w:rPr>
      <w:rFonts w:ascii="標楷體" w:eastAsia="標楷體" w:hAnsi="標楷體"/>
      <w:b w:val="0"/>
      <w:i w:val="0"/>
      <w:caps w:val="0"/>
      <w:smallCaps w:val="0"/>
      <w:strike w:val="0"/>
      <w:dstrike w:val="0"/>
      <w:vanish w:val="0"/>
      <w:color w:val="000000"/>
      <w:position w:val="0"/>
      <w:sz w:val="30"/>
      <w:vertAlign w:val="baseline"/>
      <w14:textOutline w14:w="0" w14:cap="rnd" w14:cmpd="sng" w14:algn="ctr">
        <w14:noFill/>
        <w14:prstDash w14:val="solid"/>
        <w14:bevel/>
      </w14:textOutline>
    </w:rPr>
  </w:style>
  <w:style w:type="character" w:customStyle="1" w:styleId="WWCharLFO8LVL1">
    <w:name w:val="WW_CharLFO8LVL1"/>
    <w:qFormat/>
    <w:rPr>
      <w:rFonts w:ascii="標楷體" w:hAnsi="標楷體"/>
    </w:rPr>
  </w:style>
  <w:style w:type="paragraph" w:styleId="aa">
    <w:name w:val="Title"/>
    <w:basedOn w:val="a0"/>
    <w:next w:val="ab"/>
    <w:uiPriority w:val="10"/>
    <w:qFormat/>
    <w:pPr>
      <w:keepNext/>
      <w:spacing w:before="240" w:after="120"/>
    </w:pPr>
    <w:rPr>
      <w:rFonts w:ascii="Liberation Sans" w:eastAsia="Source Han Sans" w:hAnsi="Liberation Sans" w:cs="Lucida Sans"/>
      <w:sz w:val="28"/>
      <w:szCs w:val="28"/>
    </w:rPr>
  </w:style>
  <w:style w:type="paragraph" w:styleId="ab">
    <w:name w:val="Body Text"/>
    <w:basedOn w:val="a0"/>
    <w:pPr>
      <w:spacing w:after="140" w:line="276" w:lineRule="auto"/>
    </w:pPr>
  </w:style>
  <w:style w:type="paragraph" w:styleId="ac">
    <w:name w:val="List"/>
    <w:basedOn w:val="ab"/>
    <w:rPr>
      <w:rFonts w:cs="Lucida Sans"/>
    </w:rPr>
  </w:style>
  <w:style w:type="paragraph" w:styleId="ad">
    <w:name w:val="caption"/>
    <w:basedOn w:val="a0"/>
    <w:qFormat/>
    <w:pPr>
      <w:suppressLineNumbers/>
      <w:spacing w:before="120" w:after="120"/>
    </w:pPr>
    <w:rPr>
      <w:rFonts w:cs="Lucida Sans"/>
      <w:i/>
      <w:iCs/>
      <w:szCs w:val="24"/>
    </w:rPr>
  </w:style>
  <w:style w:type="paragraph" w:customStyle="1" w:styleId="ae">
    <w:name w:val="索引"/>
    <w:basedOn w:val="a0"/>
    <w:qFormat/>
    <w:pPr>
      <w:suppressLineNumbers/>
    </w:pPr>
    <w:rPr>
      <w:rFonts w:cs="Lucida Sans"/>
    </w:rPr>
  </w:style>
  <w:style w:type="paragraph" w:customStyle="1" w:styleId="HeaderandFooter">
    <w:name w:val="Header and Footer"/>
    <w:basedOn w:val="a0"/>
    <w:qFormat/>
    <w:pPr>
      <w:suppressLineNumbers/>
      <w:tabs>
        <w:tab w:val="center" w:pos="4819"/>
        <w:tab w:val="right" w:pos="9638"/>
      </w:tabs>
    </w:pPr>
  </w:style>
  <w:style w:type="paragraph" w:styleId="af">
    <w:name w:val="header"/>
    <w:basedOn w:val="a0"/>
    <w:pPr>
      <w:snapToGrid w:val="0"/>
    </w:pPr>
    <w:rPr>
      <w:sz w:val="20"/>
      <w:szCs w:val="20"/>
    </w:rPr>
  </w:style>
  <w:style w:type="paragraph" w:styleId="af0">
    <w:name w:val="footer"/>
    <w:basedOn w:val="a0"/>
    <w:pPr>
      <w:snapToGrid w:val="0"/>
    </w:pPr>
    <w:rPr>
      <w:sz w:val="20"/>
      <w:szCs w:val="20"/>
    </w:rPr>
  </w:style>
  <w:style w:type="paragraph" w:styleId="af1">
    <w:name w:val="Plain Text"/>
    <w:basedOn w:val="a0"/>
    <w:qFormat/>
    <w:rPr>
      <w:rFonts w:ascii="細明體;MingLiU" w:eastAsia="細明體;MingLiU" w:hAnsi="細明體;MingLiU"/>
      <w:szCs w:val="20"/>
    </w:rPr>
  </w:style>
  <w:style w:type="paragraph" w:customStyle="1" w:styleId="af2">
    <w:name w:val="第二層 字元 字元"/>
    <w:basedOn w:val="2"/>
    <w:qFormat/>
    <w:pPr>
      <w:numPr>
        <w:ilvl w:val="0"/>
        <w:numId w:val="0"/>
      </w:numPr>
      <w:spacing w:line="340" w:lineRule="exact"/>
      <w:ind w:left="215" w:hanging="215"/>
      <w:jc w:val="both"/>
    </w:pPr>
    <w:rPr>
      <w:rFonts w:ascii="標楷體" w:eastAsia="標楷體" w:hAnsi="標楷體"/>
      <w:sz w:val="28"/>
      <w:szCs w:val="28"/>
    </w:rPr>
  </w:style>
  <w:style w:type="paragraph" w:customStyle="1" w:styleId="af3">
    <w:name w:val="(一)"/>
    <w:basedOn w:val="a0"/>
    <w:qFormat/>
    <w:pPr>
      <w:spacing w:line="340" w:lineRule="exact"/>
      <w:ind w:left="220" w:hanging="220"/>
      <w:jc w:val="both"/>
    </w:pPr>
    <w:rPr>
      <w:rFonts w:ascii="標楷體" w:eastAsia="標楷體" w:hAnsi="標楷體"/>
      <w:sz w:val="22"/>
    </w:rPr>
  </w:style>
  <w:style w:type="paragraph" w:customStyle="1" w:styleId="a">
    <w:name w:val="說明條列"/>
    <w:basedOn w:val="a0"/>
    <w:qFormat/>
    <w:pPr>
      <w:numPr>
        <w:numId w:val="2"/>
      </w:numPr>
      <w:spacing w:line="480" w:lineRule="exact"/>
      <w:jc w:val="both"/>
    </w:pPr>
    <w:rPr>
      <w:rFonts w:ascii="標楷體" w:eastAsia="標楷體" w:hAnsi="標楷體"/>
      <w:sz w:val="30"/>
      <w:szCs w:val="20"/>
    </w:rPr>
  </w:style>
  <w:style w:type="paragraph" w:styleId="af4">
    <w:name w:val="List Paragraph"/>
    <w:basedOn w:val="a0"/>
    <w:qFormat/>
    <w:pPr>
      <w:ind w:left="480"/>
    </w:pPr>
  </w:style>
  <w:style w:type="paragraph" w:customStyle="1" w:styleId="cjk">
    <w:name w:val="cjk"/>
    <w:basedOn w:val="a0"/>
    <w:qFormat/>
    <w:pPr>
      <w:widowControl/>
      <w:spacing w:before="280" w:after="142" w:line="288" w:lineRule="auto"/>
    </w:pPr>
    <w:rPr>
      <w:rFonts w:ascii="新細明體;PMingLiU" w:hAnsi="新細明體;PMingLiU" w:cs="新細明體;PMingLiU"/>
      <w:color w:val="000000"/>
      <w:kern w:val="0"/>
      <w:szCs w:val="24"/>
    </w:rPr>
  </w:style>
  <w:style w:type="paragraph" w:customStyle="1" w:styleId="1">
    <w:name w:val="大1."/>
    <w:basedOn w:val="a0"/>
    <w:qFormat/>
    <w:pPr>
      <w:tabs>
        <w:tab w:val="left" w:pos="8445"/>
      </w:tabs>
      <w:snapToGrid w:val="0"/>
      <w:spacing w:line="400" w:lineRule="atLeast"/>
      <w:ind w:left="1328" w:hanging="224"/>
      <w:jc w:val="both"/>
    </w:pPr>
    <w:rPr>
      <w:rFonts w:ascii="Times New Roman" w:eastAsia="標楷體" w:hAnsi="Times New Roman"/>
      <w:sz w:val="28"/>
      <w:szCs w:val="24"/>
    </w:rPr>
  </w:style>
  <w:style w:type="paragraph" w:customStyle="1" w:styleId="10">
    <w:name w:val="清單段落1"/>
    <w:basedOn w:val="a0"/>
    <w:qFormat/>
    <w:pPr>
      <w:ind w:left="480"/>
    </w:pPr>
  </w:style>
  <w:style w:type="paragraph" w:customStyle="1" w:styleId="Default">
    <w:name w:val="Default"/>
    <w:qFormat/>
    <w:pPr>
      <w:widowControl w:val="0"/>
      <w:suppressAutoHyphens/>
      <w:autoSpaceDE w:val="0"/>
    </w:pPr>
    <w:rPr>
      <w:rFonts w:ascii="標楷體" w:eastAsia="標楷體" w:hAnsi="標楷體" w:cs="標楷體"/>
      <w:color w:val="000000"/>
      <w:lang w:bidi="ar-SA"/>
    </w:rPr>
  </w:style>
  <w:style w:type="paragraph" w:styleId="HTML0">
    <w:name w:val="HTML Preformatted"/>
    <w:basedOn w:val="a0"/>
    <w:qFormat/>
    <w:rPr>
      <w:rFonts w:ascii="Courier New" w:eastAsia="Courier New" w:hAnsi="Courier New" w:cs="Courier New"/>
      <w:sz w:val="20"/>
      <w:szCs w:val="20"/>
    </w:rPr>
  </w:style>
  <w:style w:type="paragraph" w:styleId="af5">
    <w:name w:val="Balloon Text"/>
    <w:basedOn w:val="a0"/>
    <w:qFormat/>
    <w:rPr>
      <w:rFonts w:ascii="Cambria" w:hAnsi="Cambria"/>
      <w:sz w:val="18"/>
      <w:szCs w:val="18"/>
    </w:rPr>
  </w:style>
  <w:style w:type="paragraph" w:customStyle="1" w:styleId="af6">
    <w:name w:val="表格內容"/>
    <w:basedOn w:val="a0"/>
    <w:qFormat/>
    <w:pPr>
      <w:suppressLineNumbers/>
    </w:pPr>
  </w:style>
  <w:style w:type="paragraph" w:customStyle="1" w:styleId="af7">
    <w:name w:val="表格標題"/>
    <w:basedOn w:val="af6"/>
    <w:qFormat/>
    <w:pPr>
      <w:jc w:val="center"/>
    </w:pPr>
    <w:rPr>
      <w:b/>
      <w:bCs/>
    </w:rPr>
  </w:style>
  <w:style w:type="paragraph" w:customStyle="1" w:styleId="Standard">
    <w:name w:val="Standard"/>
    <w:qFormat/>
    <w:pPr>
      <w:widowControl w:val="0"/>
      <w:suppressAutoHyphens/>
    </w:pPr>
    <w:rPr>
      <w:rFonts w:ascii="Calibri" w:eastAsia="????;PMingLiU" w:hAnsi="Calibri" w:cs="Times New Roman"/>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林庭如</dc:creator>
  <cp:lastModifiedBy>歐奕伶</cp:lastModifiedBy>
  <cp:revision>2</cp:revision>
  <dcterms:created xsi:type="dcterms:W3CDTF">2026-01-20T06:14:00Z</dcterms:created>
  <dcterms:modified xsi:type="dcterms:W3CDTF">2026-01-20T06:14:00Z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2025-01-07T15:28:00Z</dcterms:created>
  <dc:creator>A403</dc:creator>
  <dc:description/>
  <dc:language>zh-TW</dc:language>
  <cp:lastModifiedBy/>
  <cp:lastPrinted>2023-03-10T02:37:00Z</cp:lastPrinted>
  <dcterms:modified xsi:type="dcterms:W3CDTF">2026-01-07T12:37:29Z</dcterms:modified>
  <cp:revision>307</cp:revision>
  <dc:subject/>
  <dc:title>95年度預算籌編重大情事日誌（範例）</dc:title>
</cp:coreProperties>
</file>