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E" w:rsidRPr="00F97342" w:rsidRDefault="0014494F">
      <w:pPr>
        <w:spacing w:before="90" w:line="0" w:lineRule="atLeast"/>
        <w:rPr>
          <w:rFonts w:ascii="標楷體" w:eastAsia="標楷體" w:hAnsi="標楷體"/>
          <w:b/>
          <w:sz w:val="28"/>
          <w:szCs w:val="28"/>
        </w:rPr>
      </w:pPr>
      <w:r w:rsidRPr="00F97342">
        <w:rPr>
          <w:rFonts w:ascii="標楷體" w:eastAsia="標楷體" w:hAnsi="標楷體"/>
          <w:b/>
          <w:sz w:val="28"/>
          <w:szCs w:val="28"/>
        </w:rPr>
        <w:t>壹、基金概況</w:t>
      </w:r>
    </w:p>
    <w:p w:rsidR="0015433E" w:rsidRPr="00F97342" w:rsidRDefault="0014494F">
      <w:pPr>
        <w:spacing w:before="90" w:line="0" w:lineRule="atLeast"/>
        <w:ind w:left="240"/>
      </w:pPr>
      <w:r w:rsidRPr="00F97342">
        <w:rPr>
          <w:rFonts w:ascii="標楷體" w:eastAsia="標楷體" w:hAnsi="標楷體"/>
          <w:sz w:val="28"/>
          <w:szCs w:val="28"/>
        </w:rPr>
        <w:t>一、設立宗旨</w:t>
      </w:r>
      <w:r w:rsidRPr="00F97342">
        <w:rPr>
          <w:rFonts w:ascii="標楷體" w:eastAsia="標楷體" w:hAnsi="標楷體"/>
          <w:b/>
          <w:color w:val="000000"/>
          <w:sz w:val="28"/>
        </w:rPr>
        <w:t>：</w:t>
      </w:r>
    </w:p>
    <w:p w:rsidR="0015433E" w:rsidRPr="00F97342" w:rsidRDefault="0014494F">
      <w:pPr>
        <w:overflowPunct w:val="0"/>
        <w:snapToGrid w:val="0"/>
        <w:spacing w:before="90" w:line="0" w:lineRule="atLeast"/>
        <w:ind w:left="720" w:firstLine="561"/>
        <w:jc w:val="both"/>
        <w:rPr>
          <w:rFonts w:ascii="標楷體" w:eastAsia="標楷體" w:hAnsi="標楷體"/>
          <w:sz w:val="28"/>
          <w:szCs w:val="28"/>
        </w:rPr>
      </w:pPr>
      <w:r w:rsidRPr="00F97342">
        <w:rPr>
          <w:rFonts w:ascii="標楷體" w:eastAsia="標楷體" w:hAnsi="標楷體"/>
          <w:sz w:val="28"/>
          <w:szCs w:val="28"/>
        </w:rPr>
        <w:t>本校自1987年創校以來，致力於培育「為學以精、待人以誠、</w:t>
      </w:r>
      <w:proofErr w:type="gramStart"/>
      <w:r w:rsidRPr="00F97342">
        <w:rPr>
          <w:rFonts w:ascii="標楷體" w:eastAsia="標楷體" w:hAnsi="標楷體"/>
          <w:sz w:val="28"/>
          <w:szCs w:val="28"/>
        </w:rPr>
        <w:t>生活以樸</w:t>
      </w:r>
      <w:proofErr w:type="gramEnd"/>
      <w:r w:rsidRPr="00F97342">
        <w:rPr>
          <w:rFonts w:ascii="標楷體" w:eastAsia="標楷體" w:hAnsi="標楷體"/>
          <w:sz w:val="28"/>
          <w:szCs w:val="28"/>
        </w:rPr>
        <w:t>、</w:t>
      </w:r>
      <w:proofErr w:type="gramStart"/>
      <w:r w:rsidRPr="00F97342">
        <w:rPr>
          <w:rFonts w:ascii="標楷體" w:eastAsia="標楷體" w:hAnsi="標楷體"/>
          <w:sz w:val="28"/>
          <w:szCs w:val="28"/>
        </w:rPr>
        <w:t>運動以</w:t>
      </w:r>
      <w:proofErr w:type="gramEnd"/>
      <w:r w:rsidRPr="00F97342">
        <w:rPr>
          <w:rFonts w:ascii="標楷體" w:eastAsia="標楷體" w:hAnsi="標楷體"/>
          <w:sz w:val="28"/>
          <w:szCs w:val="28"/>
        </w:rPr>
        <w:t>毅」之專業人才，並以培育具國際競爭力運動員，落實運動科學化訓練，促進運動休閒產業發展，推動運動科技創新與研發，提升國民運動健康與生活知能，培育運動推廣與教育人才為目標，以人才教育與學術發展為宗旨，順應國際發展趨勢及配合國家體育政策，連結產業與社會發展脈動，拓展師生全球化視野，運用經營管理與自我改善機制，</w:t>
      </w:r>
      <w:proofErr w:type="gramStart"/>
      <w:r w:rsidRPr="00F97342">
        <w:rPr>
          <w:rFonts w:ascii="標楷體" w:eastAsia="標楷體" w:hAnsi="標楷體"/>
          <w:sz w:val="28"/>
          <w:szCs w:val="28"/>
        </w:rPr>
        <w:t>營造善性循</w:t>
      </w:r>
      <w:proofErr w:type="gramEnd"/>
      <w:r w:rsidRPr="00F97342">
        <w:rPr>
          <w:rFonts w:ascii="標楷體" w:eastAsia="標楷體" w:hAnsi="標楷體"/>
          <w:sz w:val="28"/>
          <w:szCs w:val="28"/>
        </w:rPr>
        <w:t xml:space="preserve">環與追求卓越的校園文化；並以此為基石，將學校定位為「以運動競技與健康休閒為導向之體育專業大學」，秉持「專業務實態度」、「強調溝通協調」、「重視人際倫理」、「形塑國體價值」及「傳承國體精神」之任務與使命，以「智庫國體-成為體育思想領航者」、「創意國體-提升體育運動服務市場價值」、「競技國體-國家任務捨我其誰使命感」、「效率國體-落實財務穩健、互信自主、專業尊重」、「國體價值-建構運動專業職能基地」、「國體精神-傳遞精、誠、樸、毅之創校精神」及「國際學園-建立奧林匹克氛圍環境」為校務發展目標，期能達成「國際揚威、體育磐石」之願景。 </w:t>
      </w:r>
    </w:p>
    <w:p w:rsidR="0015433E" w:rsidRPr="00F97342" w:rsidRDefault="0014494F">
      <w:pPr>
        <w:overflowPunct w:val="0"/>
        <w:snapToGrid w:val="0"/>
        <w:spacing w:before="90" w:line="0" w:lineRule="atLeast"/>
        <w:ind w:left="720" w:firstLine="561"/>
        <w:jc w:val="both"/>
      </w:pPr>
      <w:r w:rsidRPr="00F97342">
        <w:rPr>
          <w:rFonts w:ascii="標楷體" w:eastAsia="標楷體" w:hAnsi="標楷體"/>
          <w:sz w:val="28"/>
          <w:szCs w:val="28"/>
        </w:rPr>
        <w:t>本校預算及財務運作，自86年度起配合教育部「國立大學校院校務基金」之實施設置本基金，促使自籌部分財源，減輕政府負擔，同時亦能提升資源使用效率，提高辦學績效。為因應90年12月21日修正之「國立大學校院校務基金設置條例」（以下簡稱設置條例）第10條但書規定，有關推廣教育等5項自籌收入不受預算法、會計法等限制，</w:t>
      </w:r>
      <w:proofErr w:type="gramStart"/>
      <w:r w:rsidRPr="00F97342">
        <w:rPr>
          <w:rFonts w:ascii="標楷體" w:eastAsia="標楷體" w:hAnsi="標楷體"/>
          <w:sz w:val="28"/>
          <w:szCs w:val="28"/>
        </w:rPr>
        <w:t>爰</w:t>
      </w:r>
      <w:proofErr w:type="gramEnd"/>
      <w:r w:rsidRPr="00F97342">
        <w:rPr>
          <w:rFonts w:ascii="標楷體" w:eastAsia="標楷體" w:hAnsi="標楷體"/>
          <w:sz w:val="28"/>
          <w:szCs w:val="28"/>
        </w:rPr>
        <w:t>經教育部報奉行政院核定自93年度起，國立大學校院校務基金年度預算書區分為「適用預算法</w:t>
      </w:r>
      <w:proofErr w:type="gramStart"/>
      <w:r w:rsidRPr="00F97342">
        <w:rPr>
          <w:rFonts w:ascii="標楷體" w:eastAsia="標楷體" w:hAnsi="標楷體"/>
          <w:sz w:val="28"/>
          <w:szCs w:val="28"/>
        </w:rPr>
        <w:t>編送</w:t>
      </w:r>
      <w:proofErr w:type="gramEnd"/>
      <w:r w:rsidRPr="00F97342">
        <w:rPr>
          <w:rFonts w:ascii="標楷體" w:eastAsia="標楷體" w:hAnsi="標楷體"/>
          <w:sz w:val="28"/>
          <w:szCs w:val="28"/>
        </w:rPr>
        <w:t>版（A版，政府補助及學雜費等收入，不含5項自籌收入）」、「不適用預算法</w:t>
      </w:r>
      <w:proofErr w:type="gramStart"/>
      <w:r w:rsidRPr="00F97342">
        <w:rPr>
          <w:rFonts w:ascii="標楷體" w:eastAsia="標楷體" w:hAnsi="標楷體"/>
          <w:sz w:val="28"/>
          <w:szCs w:val="28"/>
        </w:rPr>
        <w:t>編送</w:t>
      </w:r>
      <w:proofErr w:type="gramEnd"/>
      <w:r w:rsidRPr="00F97342">
        <w:rPr>
          <w:rFonts w:ascii="標楷體" w:eastAsia="標楷體" w:hAnsi="標楷體"/>
          <w:sz w:val="28"/>
          <w:szCs w:val="28"/>
        </w:rPr>
        <w:t>版（B版，即5項自籌收入）」及「全部版（C版）」等3版。</w:t>
      </w:r>
      <w:proofErr w:type="gramStart"/>
      <w:r w:rsidRPr="00F97342">
        <w:rPr>
          <w:rFonts w:ascii="標楷體" w:eastAsia="標楷體" w:hAnsi="標楷體"/>
          <w:sz w:val="28"/>
          <w:szCs w:val="28"/>
        </w:rPr>
        <w:t>惟</w:t>
      </w:r>
      <w:proofErr w:type="gramEnd"/>
      <w:r w:rsidRPr="00F97342">
        <w:rPr>
          <w:rFonts w:ascii="標楷體" w:eastAsia="標楷體" w:hAnsi="標楷體"/>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98年7月6日</w:t>
      </w:r>
      <w:proofErr w:type="gramStart"/>
      <w:r w:rsidRPr="00F97342">
        <w:rPr>
          <w:rFonts w:ascii="標楷體" w:eastAsia="標楷體" w:hAnsi="標楷體"/>
          <w:sz w:val="28"/>
          <w:szCs w:val="28"/>
        </w:rPr>
        <w:t>院授主孝</w:t>
      </w:r>
      <w:proofErr w:type="gramEnd"/>
      <w:r w:rsidRPr="00F97342">
        <w:rPr>
          <w:rFonts w:ascii="標楷體" w:eastAsia="標楷體" w:hAnsi="標楷體"/>
          <w:sz w:val="28"/>
          <w:szCs w:val="28"/>
        </w:rPr>
        <w:t>三字第0980004182號函同意，自99年度起予以合併為一個版本，以完整表達學校預（決）算及財務狀況之全貌，並適度簡化預（決）</w:t>
      </w:r>
      <w:proofErr w:type="gramStart"/>
      <w:r w:rsidRPr="00F97342">
        <w:rPr>
          <w:rFonts w:ascii="標楷體" w:eastAsia="標楷體" w:hAnsi="標楷體"/>
          <w:sz w:val="28"/>
          <w:szCs w:val="28"/>
        </w:rPr>
        <w:t>算編製</w:t>
      </w:r>
      <w:proofErr w:type="gramEnd"/>
      <w:r w:rsidRPr="00F97342">
        <w:rPr>
          <w:rFonts w:ascii="標楷體" w:eastAsia="標楷體" w:hAnsi="標楷體"/>
          <w:sz w:val="28"/>
          <w:szCs w:val="28"/>
        </w:rPr>
        <w:t>作業之負荷。</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另因應設置條例於104年2月4日修正通過，明定校務基金來源分為政府</w:t>
      </w:r>
      <w:proofErr w:type="gramStart"/>
      <w:r w:rsidRPr="00F97342">
        <w:rPr>
          <w:rFonts w:ascii="標楷體" w:eastAsia="標楷體" w:hAnsi="標楷體"/>
          <w:sz w:val="28"/>
          <w:szCs w:val="28"/>
        </w:rPr>
        <w:t>循</w:t>
      </w:r>
      <w:proofErr w:type="gramEnd"/>
      <w:r w:rsidRPr="00F97342">
        <w:rPr>
          <w:rFonts w:ascii="標楷體" w:eastAsia="標楷體" w:hAnsi="標楷體"/>
          <w:sz w:val="28"/>
          <w:szCs w:val="28"/>
        </w:rPr>
        <w:t>預算程序之撥款及自籌收入二類，爰經教育部函報行政院主計總處104年5月12日</w:t>
      </w:r>
      <w:proofErr w:type="gramStart"/>
      <w:r w:rsidRPr="00F97342">
        <w:rPr>
          <w:rFonts w:ascii="標楷體" w:eastAsia="標楷體" w:hAnsi="標楷體"/>
          <w:sz w:val="28"/>
          <w:szCs w:val="28"/>
        </w:rPr>
        <w:t>主基作</w:t>
      </w:r>
      <w:proofErr w:type="gramEnd"/>
      <w:r w:rsidRPr="00F97342">
        <w:rPr>
          <w:rFonts w:ascii="標楷體" w:eastAsia="標楷體" w:hAnsi="標楷體"/>
          <w:sz w:val="28"/>
          <w:szCs w:val="28"/>
        </w:rPr>
        <w:t>字第1040200370號函同意將各預算書表有關「政府補助及學雜費等收入」與「5項自籌收入」，修正為「政府補助</w:t>
      </w:r>
      <w:r w:rsidRPr="00F97342">
        <w:rPr>
          <w:rFonts w:ascii="標楷體" w:eastAsia="標楷體" w:hAnsi="標楷體"/>
          <w:sz w:val="28"/>
          <w:szCs w:val="28"/>
        </w:rPr>
        <w:lastRenderedPageBreak/>
        <w:t>收入」及「自籌收入」表達，以符設置條例修正意旨。</w:t>
      </w:r>
    </w:p>
    <w:p w:rsidR="0015433E" w:rsidRPr="00F97342" w:rsidRDefault="0014494F">
      <w:pPr>
        <w:spacing w:before="90" w:line="0" w:lineRule="atLeast"/>
        <w:ind w:left="240"/>
      </w:pPr>
      <w:r w:rsidRPr="00F97342">
        <w:rPr>
          <w:rFonts w:ascii="標楷體" w:eastAsia="標楷體" w:hAnsi="標楷體"/>
          <w:sz w:val="28"/>
          <w:szCs w:val="28"/>
        </w:rPr>
        <w:t>二、組織概況</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依據國立體育大學組織規程，本校置校長一人，綜理校務，得置副校長一至三人，襄助校長推動校務，目前聘有副校長二人。</w:t>
      </w:r>
    </w:p>
    <w:p w:rsidR="0015433E" w:rsidRPr="00F97342" w:rsidRDefault="0014494F">
      <w:pPr>
        <w:overflowPunct w:val="0"/>
        <w:snapToGrid w:val="0"/>
        <w:spacing w:before="90" w:line="0" w:lineRule="atLeast"/>
        <w:ind w:left="720" w:firstLine="561"/>
        <w:jc w:val="both"/>
      </w:pPr>
      <w:r w:rsidRPr="00F97342">
        <w:rPr>
          <w:rFonts w:ascii="標楷體" w:eastAsia="標楷體" w:hAnsi="標楷體"/>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以及陸上運動技術學系、球類運動技術學系、技擊運動技術學系、運動保健學系、體育推廣學系、適應體育學系、休閒產業經營學系等7個學系；另管理學院下設國際體育事務碩士學位學程及國際運動管理與創新博士學位學程、競技學院下設國際運動教練科學碩士學位學程等3個學位學程；並設有通識教育中心及師資培育中心等2個中心。行政單位計5處(教務處、學生事務處、總務處、研究發展處、體育處)、</w:t>
      </w:r>
      <w:r w:rsidRPr="00F97342">
        <w:rPr>
          <w:rFonts w:ascii="標楷體" w:eastAsia="標楷體" w:hAnsi="標楷體"/>
          <w:color w:val="000000"/>
          <w:sz w:val="28"/>
          <w:szCs w:val="28"/>
        </w:rPr>
        <w:t>3室(秘書室、人事室、主計室)、</w:t>
      </w:r>
      <w:r w:rsidRPr="00F97342">
        <w:rPr>
          <w:rFonts w:ascii="標楷體" w:eastAsia="標楷體" w:hAnsi="標楷體"/>
          <w:sz w:val="28"/>
          <w:szCs w:val="28"/>
        </w:rPr>
        <w:t>1館(圖書館)、1中心(資訊中心)。另專業教育(服務)單位設有進修推廣部、運動防護中心、體育博物館、華語文中心、體育運動與社會發展中心及運動科學研究中心。</w:t>
      </w:r>
    </w:p>
    <w:p w:rsidR="0015433E" w:rsidRPr="00F97342" w:rsidRDefault="0014494F">
      <w:pPr>
        <w:spacing w:before="90" w:line="0" w:lineRule="atLeast"/>
        <w:ind w:left="240"/>
      </w:pPr>
      <w:r w:rsidRPr="00F97342">
        <w:rPr>
          <w:rFonts w:ascii="標楷體" w:eastAsia="標楷體" w:hAnsi="標楷體"/>
          <w:sz w:val="28"/>
          <w:szCs w:val="28"/>
        </w:rPr>
        <w:t>三、基金歸類及屬性</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本基金係依預算法第4條第1項第2款所訂，凡付出仍可收回，而非用於營業之作業基金，並編製附屬單位預算。</w:t>
      </w:r>
    </w:p>
    <w:p w:rsidR="0015433E" w:rsidRPr="00F97342" w:rsidRDefault="0014494F">
      <w:pPr>
        <w:spacing w:before="90" w:line="0" w:lineRule="atLeast"/>
        <w:ind w:left="547" w:hanging="547"/>
      </w:pPr>
      <w:r w:rsidRPr="00F97342">
        <w:rPr>
          <w:rFonts w:ascii="標楷體" w:eastAsia="標楷體" w:hAnsi="標楷體"/>
          <w:b/>
          <w:sz w:val="28"/>
          <w:szCs w:val="28"/>
        </w:rPr>
        <w:t>貳、前年度及上年度已過期間預算執行情形（前年度決算結果及上年度預算截至110年6月30日</w:t>
      </w:r>
      <w:proofErr w:type="gramStart"/>
      <w:r w:rsidRPr="00F97342">
        <w:rPr>
          <w:rFonts w:ascii="標楷體" w:eastAsia="標楷體" w:hAnsi="標楷體"/>
          <w:b/>
          <w:sz w:val="28"/>
          <w:szCs w:val="28"/>
        </w:rPr>
        <w:t>止</w:t>
      </w:r>
      <w:proofErr w:type="gramEnd"/>
      <w:r w:rsidRPr="00F97342">
        <w:rPr>
          <w:rFonts w:ascii="標楷體" w:eastAsia="標楷體" w:hAnsi="標楷體"/>
          <w:b/>
          <w:sz w:val="28"/>
          <w:szCs w:val="28"/>
        </w:rPr>
        <w:t>執行情形）</w:t>
      </w:r>
      <w:r w:rsidRPr="00F97342">
        <w:rPr>
          <w:rFonts w:ascii="標楷體" w:eastAsia="標楷體" w:hAnsi="標楷體"/>
          <w:b/>
          <w:color w:val="000000"/>
          <w:sz w:val="28"/>
        </w:rPr>
        <w:t>：</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一、前(109)年度決算結果：</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)業務收入：決算數6億5,583萬2千元，較預算數5億6,968萬5千元增加8,614萬7千元，約15.12%，主要係建教合作計畫收入增加所致。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(二)業務成本與費用：決算數6億6,652萬6千元，較預算數6億2,011萬8千元增加4,640萬8千元，約7.48%。</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(三)業務外收入：決算數6,868萬1千元，較預算數9,356萬元減少2,487萬9千元，約26.59%，主要係受嚴重特殊傳染性肺炎</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情影響，場館營運收入較預期減少所致。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(四)業務外費用：決算數7,934萬8千元，較預算數7,273萬5千元增加661萬3千元，約9.09%。</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：決算短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數2,136萬1千元，較預算短絀數2,960萬8千元，減少824萬7千元，</w:t>
      </w:r>
      <w:r w:rsidRPr="00C0288B">
        <w:rPr>
          <w:rFonts w:ascii="標楷體" w:eastAsia="標楷體" w:hAnsi="標楷體"/>
          <w:sz w:val="28"/>
          <w:szCs w:val="28"/>
        </w:rPr>
        <w:t>約27.85%，</w:t>
      </w:r>
      <w:r w:rsidRPr="00F97342">
        <w:rPr>
          <w:rFonts w:ascii="標楷體" w:eastAsia="標楷體" w:hAnsi="標楷體"/>
          <w:sz w:val="28"/>
          <w:szCs w:val="28"/>
        </w:rPr>
        <w:t>主要係建教合作收入較預計數增加所致。</w:t>
      </w:r>
    </w:p>
    <w:p w:rsidR="0015433E" w:rsidRPr="00C0288B"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lastRenderedPageBreak/>
        <w:t>(六)固定資產之建設改良與擴充：一般建築及設備計畫決算數4,993萬8千元，</w:t>
      </w:r>
      <w:r w:rsidRPr="00C0288B">
        <w:rPr>
          <w:rFonts w:ascii="標楷體" w:eastAsia="標楷體" w:hAnsi="標楷體"/>
          <w:sz w:val="28"/>
          <w:szCs w:val="28"/>
        </w:rPr>
        <w:t>占</w:t>
      </w:r>
      <w:r w:rsidRPr="00F97342">
        <w:rPr>
          <w:rFonts w:ascii="標楷體" w:eastAsia="標楷體" w:hAnsi="標楷體"/>
          <w:sz w:val="28"/>
          <w:szCs w:val="28"/>
        </w:rPr>
        <w:t>可用預算數5,198萬7千元，執行率約96.06%。</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二、上(110)年度截至6月底</w:t>
      </w:r>
      <w:proofErr w:type="gramStart"/>
      <w:r w:rsidRPr="00F97342">
        <w:rPr>
          <w:rFonts w:ascii="標楷體" w:eastAsia="標楷體" w:hAnsi="標楷體"/>
          <w:sz w:val="28"/>
          <w:szCs w:val="28"/>
        </w:rPr>
        <w:t>止</w:t>
      </w:r>
      <w:proofErr w:type="gramEnd"/>
      <w:r w:rsidRPr="00F97342">
        <w:rPr>
          <w:rFonts w:ascii="標楷體" w:eastAsia="標楷體" w:hAnsi="標楷體"/>
          <w:sz w:val="28"/>
          <w:szCs w:val="28"/>
        </w:rPr>
        <w:t>預算執行情形：</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)業務收入：實際</w:t>
      </w:r>
      <w:r w:rsidRPr="00C0288B">
        <w:rPr>
          <w:rFonts w:ascii="標楷體" w:eastAsia="標楷體" w:hAnsi="標楷體"/>
          <w:sz w:val="28"/>
          <w:szCs w:val="28"/>
        </w:rPr>
        <w:t>業務收入</w:t>
      </w:r>
      <w:r w:rsidRPr="00F97342">
        <w:rPr>
          <w:rFonts w:ascii="標楷體" w:eastAsia="標楷體" w:hAnsi="標楷體"/>
          <w:sz w:val="28"/>
          <w:szCs w:val="28"/>
        </w:rPr>
        <w:t>3億</w:t>
      </w:r>
      <w:r w:rsidRPr="00C0288B">
        <w:rPr>
          <w:rFonts w:ascii="標楷體" w:eastAsia="標楷體" w:hAnsi="標楷體"/>
          <w:sz w:val="28"/>
          <w:szCs w:val="28"/>
        </w:rPr>
        <w:t>0,</w:t>
      </w:r>
      <w:r w:rsidRPr="00F97342">
        <w:rPr>
          <w:rFonts w:ascii="標楷體" w:eastAsia="標楷體" w:hAnsi="標楷體"/>
          <w:sz w:val="28"/>
          <w:szCs w:val="28"/>
        </w:rPr>
        <w:t>634萬1千元，較預計數3億</w:t>
      </w:r>
      <w:r w:rsidR="009B0321" w:rsidRPr="00C0288B">
        <w:rPr>
          <w:rFonts w:ascii="標楷體" w:eastAsia="標楷體" w:hAnsi="標楷體"/>
          <w:sz w:val="28"/>
          <w:szCs w:val="28"/>
        </w:rPr>
        <w:t>0,</w:t>
      </w:r>
      <w:r w:rsidRPr="00F97342">
        <w:rPr>
          <w:rFonts w:ascii="標楷體" w:eastAsia="標楷體" w:hAnsi="標楷體"/>
          <w:sz w:val="28"/>
          <w:szCs w:val="28"/>
        </w:rPr>
        <w:t>101萬5千元，增加532萬6千元，約1.77%。</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(二)業務成本與費用：實際</w:t>
      </w:r>
      <w:r w:rsidRPr="00C0288B">
        <w:rPr>
          <w:rFonts w:ascii="標楷體" w:eastAsia="標楷體" w:hAnsi="標楷體"/>
          <w:sz w:val="28"/>
          <w:szCs w:val="28"/>
        </w:rPr>
        <w:t>業務成本與費用</w:t>
      </w:r>
      <w:r w:rsidRPr="00F97342">
        <w:rPr>
          <w:rFonts w:ascii="標楷體" w:eastAsia="標楷體" w:hAnsi="標楷體"/>
          <w:sz w:val="28"/>
          <w:szCs w:val="28"/>
        </w:rPr>
        <w:t>3億</w:t>
      </w:r>
      <w:r w:rsidRPr="00C0288B">
        <w:rPr>
          <w:rFonts w:ascii="標楷體" w:eastAsia="標楷體" w:hAnsi="標楷體"/>
          <w:sz w:val="28"/>
          <w:szCs w:val="28"/>
        </w:rPr>
        <w:t>0,</w:t>
      </w:r>
      <w:r w:rsidRPr="00F97342">
        <w:rPr>
          <w:rFonts w:ascii="標楷體" w:eastAsia="標楷體" w:hAnsi="標楷體"/>
          <w:sz w:val="28"/>
          <w:szCs w:val="28"/>
        </w:rPr>
        <w:t>704萬1千元，較預計數3億3,088萬元，減少2,383萬9千元，約7.20%。</w:t>
      </w:r>
    </w:p>
    <w:p w:rsidR="0015433E" w:rsidRPr="00F97342" w:rsidRDefault="0014494F">
      <w:pPr>
        <w:spacing w:before="90" w:line="0" w:lineRule="atLeast"/>
        <w:ind w:left="1157" w:hanging="557"/>
        <w:jc w:val="both"/>
      </w:pPr>
      <w:r w:rsidRPr="00F97342">
        <w:rPr>
          <w:rFonts w:ascii="標楷體" w:eastAsia="標楷體" w:hAnsi="標楷體"/>
          <w:sz w:val="28"/>
          <w:szCs w:val="28"/>
        </w:rPr>
        <w:t>(三)業務外收入：實際</w:t>
      </w:r>
      <w:r w:rsidRPr="00C0288B">
        <w:rPr>
          <w:rFonts w:ascii="標楷體" w:eastAsia="標楷體" w:hAnsi="標楷體"/>
          <w:sz w:val="28"/>
          <w:szCs w:val="28"/>
        </w:rPr>
        <w:t>業務外收入</w:t>
      </w:r>
      <w:r w:rsidRPr="00F97342">
        <w:rPr>
          <w:rFonts w:ascii="標楷體" w:eastAsia="標楷體" w:hAnsi="標楷體"/>
          <w:sz w:val="28"/>
          <w:szCs w:val="28"/>
        </w:rPr>
        <w:t>3,068萬1千元，較預計數4,993萬2千元，減少1,925萬1千元，約38.56%，主要係受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w:t>
      </w:r>
      <w:r w:rsidRPr="00F97342">
        <w:rPr>
          <w:rFonts w:eastAsia="標楷體"/>
          <w:sz w:val="28"/>
          <w:szCs w:val="28"/>
        </w:rPr>
        <w:t>收入較預計減少所致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(四)業務外費用：實際</w:t>
      </w:r>
      <w:r w:rsidRPr="00C0288B">
        <w:rPr>
          <w:rFonts w:ascii="標楷體" w:eastAsia="標楷體" w:hAnsi="標楷體"/>
          <w:sz w:val="28"/>
          <w:szCs w:val="28"/>
        </w:rPr>
        <w:t>業務外費用</w:t>
      </w:r>
      <w:r w:rsidRPr="00F97342">
        <w:rPr>
          <w:rFonts w:ascii="標楷體" w:eastAsia="標楷體" w:hAnsi="標楷體"/>
          <w:sz w:val="28"/>
          <w:szCs w:val="28"/>
        </w:rPr>
        <w:t>3,193萬6千元，較預計數3,954萬4千元，減少760萬8千元，約19.24%，</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營運成本依實際業務需要減少所致。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：實際短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數195萬5千元，較預計短絀數1,947萬7千元，減少1,752萬2千元，約89.96%，主要係建教合作收入較預計增加，並撙節支出所致。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(六)固定資產之建設改良與擴充：一般建築及設備計畫實際執行數915萬2千元，</w:t>
      </w:r>
      <w:r w:rsidRPr="00C0288B">
        <w:rPr>
          <w:rFonts w:ascii="標楷體" w:eastAsia="標楷體" w:hAnsi="標楷體"/>
          <w:sz w:val="28"/>
          <w:szCs w:val="28"/>
        </w:rPr>
        <w:t>占預計數</w:t>
      </w:r>
      <w:r w:rsidR="009B0321" w:rsidRPr="00C0288B">
        <w:rPr>
          <w:rFonts w:ascii="標楷體" w:eastAsia="標楷體" w:hAnsi="標楷體" w:hint="eastAsia"/>
          <w:sz w:val="28"/>
          <w:szCs w:val="28"/>
        </w:rPr>
        <w:t>941</w:t>
      </w:r>
      <w:r w:rsidRPr="00C0288B">
        <w:rPr>
          <w:rFonts w:ascii="標楷體" w:eastAsia="標楷體" w:hAnsi="標楷體"/>
          <w:sz w:val="28"/>
          <w:szCs w:val="28"/>
        </w:rPr>
        <w:t>萬</w:t>
      </w:r>
      <w:r w:rsidR="009B0321" w:rsidRPr="00C0288B">
        <w:rPr>
          <w:rFonts w:ascii="標楷體" w:eastAsia="標楷體" w:hAnsi="標楷體" w:hint="eastAsia"/>
          <w:sz w:val="28"/>
          <w:szCs w:val="28"/>
        </w:rPr>
        <w:t>4</w:t>
      </w:r>
      <w:r w:rsidRPr="00C0288B">
        <w:rPr>
          <w:rFonts w:ascii="標楷體" w:eastAsia="標楷體" w:hAnsi="標楷體"/>
          <w:sz w:val="28"/>
          <w:szCs w:val="28"/>
        </w:rPr>
        <w:t>千元，</w:t>
      </w:r>
      <w:r w:rsidRPr="00F97342">
        <w:rPr>
          <w:rFonts w:ascii="標楷體" w:eastAsia="標楷體" w:hAnsi="標楷體"/>
          <w:sz w:val="28"/>
          <w:szCs w:val="28"/>
        </w:rPr>
        <w:t>執行率約97.22%。</w:t>
      </w:r>
    </w:p>
    <w:p w:rsidR="0015433E" w:rsidRPr="00F97342" w:rsidRDefault="0014494F">
      <w:pPr>
        <w:spacing w:before="90" w:line="0" w:lineRule="atLeast"/>
        <w:ind w:left="547" w:hanging="547"/>
      </w:pPr>
      <w:r w:rsidRPr="00F97342">
        <w:rPr>
          <w:rFonts w:ascii="標楷體" w:eastAsia="標楷體" w:hAnsi="標楷體"/>
          <w:b/>
          <w:sz w:val="28"/>
          <w:szCs w:val="28"/>
        </w:rPr>
        <w:t>參、業務計畫</w:t>
      </w:r>
      <w:r w:rsidRPr="00F97342">
        <w:rPr>
          <w:rFonts w:ascii="標楷體" w:eastAsia="標楷體" w:hAnsi="標楷體"/>
          <w:b/>
          <w:color w:val="000000"/>
          <w:sz w:val="28"/>
        </w:rPr>
        <w:t>：</w:t>
      </w:r>
    </w:p>
    <w:p w:rsidR="0015433E" w:rsidRPr="00F97342" w:rsidRDefault="0014494F">
      <w:pPr>
        <w:spacing w:before="90" w:line="0" w:lineRule="atLeast"/>
        <w:ind w:left="240"/>
      </w:pPr>
      <w:r w:rsidRPr="00F97342">
        <w:rPr>
          <w:rFonts w:ascii="標楷體" w:eastAsia="標楷體" w:hAnsi="標楷體"/>
          <w:sz w:val="28"/>
          <w:szCs w:val="28"/>
        </w:rPr>
        <w:t>一、營運計畫</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)教學目標</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1.培育體大人特質，建構運動競技與健康休閒的樂活校園</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本校定位為「以運動競技與健康休閒為導向之體育專業大學」，依學校發展方向與特色，訂定學生語文、資訊、游泳三項基本能力，以及運動專業知識與應用、創造思考與問題解決、團隊合作、奧林匹克精神、服務奉獻、永續發展、國際視野、終身學習八項核心能力，培育優秀運動員、強化高層次運動科學研究、推廣全民體育理念，致力將國立體育大學發展為「體育教育重鎮、國際競技殿堂、運動健康園區」，成為「國際揚威、體育磐石」之體育專業大學。</w:t>
      </w:r>
    </w:p>
    <w:p w:rsidR="0015433E" w:rsidRPr="00F97342" w:rsidRDefault="0014494F">
      <w:pPr>
        <w:spacing w:before="90" w:line="0" w:lineRule="atLeast"/>
        <w:ind w:left="1198" w:hanging="204"/>
        <w:jc w:val="both"/>
        <w:rPr>
          <w:rFonts w:ascii="標楷體" w:eastAsia="標楷體" w:hAnsi="標楷體"/>
          <w:sz w:val="28"/>
          <w:szCs w:val="28"/>
        </w:rPr>
      </w:pPr>
      <w:r w:rsidRPr="00F97342">
        <w:rPr>
          <w:rFonts w:ascii="標楷體" w:eastAsia="標楷體" w:hAnsi="標楷體"/>
          <w:sz w:val="28"/>
          <w:szCs w:val="28"/>
        </w:rPr>
        <w:t>2.連結課程與就業需求，開設主題課程、創新創業及跨領域課程</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為提昇教學品質，滿足學生學習需求，各系所皆設有課程委員會，負責課程之討論及規劃。並設置校課程委員會，每學年針對全校課程之整體規劃、修訂、異動進行2次審查，會議並邀請在校生</w:t>
      </w:r>
      <w:r w:rsidRPr="00F97342">
        <w:rPr>
          <w:rFonts w:ascii="標楷體" w:eastAsia="標楷體" w:hAnsi="標楷體"/>
          <w:sz w:val="28"/>
          <w:szCs w:val="28"/>
        </w:rPr>
        <w:lastRenderedPageBreak/>
        <w:t>代表共同參與，必要時亦邀請校外學者專家、產業界及校友與會提供意見，促使課程與社會需求脈動結合。除持續推動與產業特色結合之課程模組外，並積極開設主題課程、創新創業及跨領域課程。為期達到「學校精</w:t>
      </w:r>
      <w:proofErr w:type="gramStart"/>
      <w:r w:rsidRPr="00F97342">
        <w:rPr>
          <w:rFonts w:ascii="標楷體" w:eastAsia="標楷體" w:hAnsi="標楷體"/>
          <w:sz w:val="28"/>
          <w:szCs w:val="28"/>
        </w:rPr>
        <w:t>準</w:t>
      </w:r>
      <w:proofErr w:type="gramEnd"/>
      <w:r w:rsidRPr="00F97342">
        <w:rPr>
          <w:rFonts w:ascii="標楷體" w:eastAsia="標楷體" w:hAnsi="標楷體"/>
          <w:sz w:val="28"/>
          <w:szCs w:val="28"/>
        </w:rPr>
        <w:t>開課，學生聰明選課」之理念，學校精準開設核心能力與就業導向課程，並透過各班導師每學期進行選課輔導，引導學生就自我學習取向與生涯規劃有系統的選課，以推動學生跨領域學習。</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3.獎勵教師用心教學，持續精進教學內容，鞏固教學品質</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升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另辦理教師教學研習，提昇教學知能及鼓勵教師創新教學方法。為配合學校教學創新方案，依完成開課之教師減授課鐘點時數及「教師授課時數及超支鐘點費核計辦法」核發鐘點費；教師將教學實務成果運用在教學且有成效者，在教學及訓練項目上能獲得教師評鑑積分等獎勵措施。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期使本校師長不斷強化自身知能，並不吝與他人共享。</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4.強化學生學習成效，鼓勵考取能力證照，營造學習氣氛</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升學生學習成效，推動教材上網、教學助理、學生自組學習社群、學習營隊、產業實習、獎勵學生取得專業證照、海外體驗教育及專業實習等措施，以鼓勵學生實作及競賽、獲取專業證照等措施，帶領學生探索多元領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發展興趣或潛力，提升學生自主學習風氣及第二專業知識與實務能力，提升專業能力及就業競爭力，並透過辦理研習增進學生教學或輔導技巧，促進學生學習動機，提高學生學習成效。另就學生語文及資訊能力等基礎能力的培養，設有「獎勵學生參加外語檢定辦法」及「獎勵學生參加資訊證照檢定辦法」，提供考取學生獎學金，鼓勵學生積極學習，同時安排課後加強班進行學習輔導，於校園自辦能力檢定考試，營造友善的學習環境。</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5.落實教學創新，達成多元特色發展</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lastRenderedPageBreak/>
        <w:t>持續配合高等教育深耕計畫推動，發展大學多元特色培育新世代優質人才並融入本校特色，落實教學創新並於課程架構中</w:t>
      </w:r>
      <w:proofErr w:type="gramStart"/>
      <w:r w:rsidRPr="00F97342">
        <w:rPr>
          <w:rFonts w:ascii="標楷體" w:eastAsia="標楷體" w:hAnsi="標楷體"/>
          <w:sz w:val="28"/>
          <w:szCs w:val="28"/>
        </w:rPr>
        <w:t>融入深碗課程</w:t>
      </w:r>
      <w:proofErr w:type="gramEnd"/>
      <w:r w:rsidRPr="00F97342">
        <w:rPr>
          <w:rFonts w:ascii="標楷體" w:eastAsia="標楷體" w:hAnsi="標楷體"/>
          <w:sz w:val="28"/>
          <w:szCs w:val="28"/>
        </w:rPr>
        <w:t>與推動微型課程，提供學生多元化學習的方案。為強化教學支持系統，輔助教師精進教學，貼近產業趨勢，辦理教師知能研習、業師協同教學、教師專業社群等措施，並推動體育教學數位教材的建置，透過業界師資專業經驗分享，教師學術精進講座，鼓勵教師參加專業成長活動，擴展教師學術領域，</w:t>
      </w:r>
      <w:proofErr w:type="gramStart"/>
      <w:r w:rsidRPr="00F97342">
        <w:rPr>
          <w:rFonts w:ascii="標楷體" w:eastAsia="標楷體" w:hAnsi="標楷體"/>
          <w:sz w:val="28"/>
          <w:szCs w:val="28"/>
        </w:rPr>
        <w:t>促進跨際合作</w:t>
      </w:r>
      <w:proofErr w:type="gramEnd"/>
      <w:r w:rsidRPr="00F97342">
        <w:rPr>
          <w:rFonts w:ascii="標楷體" w:eastAsia="標楷體" w:hAnsi="標楷體"/>
          <w:sz w:val="28"/>
          <w:szCs w:val="28"/>
        </w:rPr>
        <w:t>產業接軌，激發教師課程研發、教學精進、增進教師同儕專業知能成長。</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6.加強招生宣傳，提高本校能見度及學生報考與報到意願</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本校近年各學制新生報到率平均達90%以上，為因應日趨嚴峻的招生競爭環境，積極辦理與高中學校意見溝通座談會、辦理招生專業化講座、強化網路招生宣傳、活潑招生資訊網頁、成立招生粉絲專頁、製作招生宣傳影片、鼓勵師長到高中端宣講學系特色、辦理體驗營</w:t>
      </w:r>
      <w:proofErr w:type="gramStart"/>
      <w:r w:rsidRPr="00F97342">
        <w:rPr>
          <w:rFonts w:ascii="標楷體" w:eastAsia="標楷體" w:hAnsi="標楷體"/>
          <w:sz w:val="28"/>
          <w:szCs w:val="28"/>
        </w:rPr>
        <w:t>等到校參訪</w:t>
      </w:r>
      <w:proofErr w:type="gramEnd"/>
      <w:r w:rsidRPr="00F97342">
        <w:rPr>
          <w:rFonts w:ascii="標楷體" w:eastAsia="標楷體" w:hAnsi="標楷體"/>
          <w:sz w:val="28"/>
          <w:szCs w:val="28"/>
        </w:rPr>
        <w:t>活動等，加強宣導本校特色及優勢。同時提升高教公共性，協助經濟及文化不利學生就學促進社會流動，並因應未來畢業生就業需求，規劃領域課程，提高學生競爭力。宣導本校各項獎學金及交換學生體制，增加考生報考誘因。辦理招生專業化，使各學系達到發揮學系特色，精</w:t>
      </w:r>
      <w:proofErr w:type="gramStart"/>
      <w:r w:rsidRPr="00F97342">
        <w:rPr>
          <w:rFonts w:ascii="標楷體" w:eastAsia="標楷體" w:hAnsi="標楷體"/>
          <w:sz w:val="28"/>
          <w:szCs w:val="28"/>
        </w:rPr>
        <w:t>準</w:t>
      </w:r>
      <w:proofErr w:type="gramEnd"/>
      <w:r w:rsidRPr="00F97342">
        <w:rPr>
          <w:rFonts w:ascii="標楷體" w:eastAsia="標楷體" w:hAnsi="標楷體"/>
          <w:sz w:val="28"/>
          <w:szCs w:val="28"/>
        </w:rPr>
        <w:t>招生選才。</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7.強化通識教育，厚植學生基礎能力</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w:t>
      </w:r>
      <w:proofErr w:type="gramStart"/>
      <w:r w:rsidRPr="00F97342">
        <w:rPr>
          <w:rFonts w:ascii="標楷體" w:eastAsia="標楷體" w:hAnsi="標楷體"/>
          <w:sz w:val="28"/>
          <w:szCs w:val="28"/>
        </w:rPr>
        <w:t>故通識</w:t>
      </w:r>
      <w:proofErr w:type="gramEnd"/>
      <w:r w:rsidRPr="00F97342">
        <w:rPr>
          <w:rFonts w:ascii="標楷體" w:eastAsia="標楷體" w:hAnsi="標楷體"/>
          <w:sz w:val="28"/>
          <w:szCs w:val="28"/>
        </w:rPr>
        <w:t>教育以落實本校校訓「精、誠、樸、毅」之核心價值為主要目標，兼顧學校重點發展，配合校訂國文、英文及資訊三項核心能力與能力指標，期能提升學生人文素養，培養學生跨領域全面多元思維能力，使之具備博雅素養。</w:t>
      </w:r>
    </w:p>
    <w:p w:rsidR="0015433E" w:rsidRPr="00F97342" w:rsidRDefault="0014494F">
      <w:pPr>
        <w:spacing w:before="90" w:line="0" w:lineRule="atLeast"/>
        <w:ind w:left="1157" w:hanging="557"/>
        <w:jc w:val="both"/>
      </w:pPr>
      <w:r w:rsidRPr="00F97342">
        <w:rPr>
          <w:rFonts w:ascii="標楷體" w:eastAsia="標楷體" w:hAnsi="標楷體"/>
          <w:sz w:val="28"/>
          <w:szCs w:val="28"/>
        </w:rPr>
        <w:t>(二)學生生活輔導目標</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1.鼓勵學生參與社團：鼓勵學生辦理社團活動，適時給予社團活動經費補助，並輔導學生社團申請專案，利用寒暑假、課餘時間投入志願服務工作</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例：教育優先區營隊活動</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，使學生在服務過程中增進自我成長，同時培養公民素養及責任，實現對社會之關懷。</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2.辦理交通安全、年輕族群</w:t>
      </w:r>
      <w:proofErr w:type="gramStart"/>
      <w:r w:rsidRPr="00F97342">
        <w:rPr>
          <w:rFonts w:ascii="標楷體" w:eastAsia="標楷體" w:hAnsi="標楷體"/>
          <w:sz w:val="28"/>
          <w:szCs w:val="28"/>
        </w:rPr>
        <w:t>菸害暨</w:t>
      </w:r>
      <w:proofErr w:type="gramEnd"/>
      <w:r w:rsidRPr="00F97342">
        <w:rPr>
          <w:rFonts w:ascii="標楷體" w:eastAsia="標楷體" w:hAnsi="標楷體"/>
          <w:sz w:val="28"/>
          <w:szCs w:val="28"/>
        </w:rPr>
        <w:t>藥物濫用防治教育與品德教育等之宣導及講座：提昇本校友善校園相關活動，結合並落實學生品德教育之實施，以營造安全、溫馨、適性、優質的學習環境。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3.落實校內生活輔導：落實辦理「藥物濫用防治」宣導、學生安全教</w:t>
      </w:r>
      <w:r w:rsidRPr="00F97342">
        <w:rPr>
          <w:rFonts w:ascii="標楷體" w:eastAsia="標楷體" w:hAnsi="標楷體"/>
          <w:sz w:val="28"/>
          <w:szCs w:val="28"/>
        </w:rPr>
        <w:lastRenderedPageBreak/>
        <w:t>育活動、學生安全維護工作、新生入學輔導，交通安全教育宣導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4.強化校外生活輔導：提供校外租屋資訊，協助學生處理</w:t>
      </w:r>
      <w:proofErr w:type="gramStart"/>
      <w:r w:rsidRPr="00F97342">
        <w:rPr>
          <w:rFonts w:ascii="標楷體" w:eastAsia="標楷體" w:hAnsi="標楷體"/>
          <w:sz w:val="28"/>
          <w:szCs w:val="28"/>
        </w:rPr>
        <w:t>賃</w:t>
      </w:r>
      <w:proofErr w:type="gramEnd"/>
      <w:r w:rsidRPr="00F97342">
        <w:rPr>
          <w:rFonts w:ascii="標楷體" w:eastAsia="標楷體" w:hAnsi="標楷體"/>
          <w:sz w:val="28"/>
          <w:szCs w:val="28"/>
        </w:rPr>
        <w:t>居問題、加強校外賃居學生安全訪視與生活輔導。</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5.維護及建構安全校園：持續加強交通安全教育之推動與宣導，加強學生緊急應變能力，建立校園意外事件緊急通報機制，有效掌握意外事件之處理流程與時效，每學年定期實施學生防震、防災及消防等各項演練，以促進校園空間與設施之安全性與無障礙友善環境，維護師生同仁安全之生活與學習環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6.提升導師輔導知能：爲增進導師對自我角色與任務的知能，以提昇對學生輔導之能力及導師工作的效能，本校每學年均定期辦理導師輔導知能研討會（上、下學期各1場）及導師工作坊（上、下學期各1～2場）等。</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8.輔導學生職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規劃：針對大</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新生，協助辦理學習歷程檔案系統推廣，並訓練各班級輔導股長，協助推廣諮服中心各項職涯輔導系列活動；針對大二學生，辦理UCAN平台施測，幫助學生瞭解自己合適之工作，以及瞭解就業市場所需具備之能力，進而促進學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養成計畫之建立。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9.積極推動性別平等教育與情感教育：針對學生性別平等理念及行動之建立，引導學生思考情感關係對於自我的意義，並辦理性別平等教育與情感教育相關活動(含專題演講、工作坊)。</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10.辦理生命教育、憂鬱防治工作：針對大</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新生，提供心理測驗篩檢；針對校內教職員生進行自殺防治守門人培訓計畫；提供情緒</w:t>
      </w:r>
      <w:proofErr w:type="gramStart"/>
      <w:r w:rsidRPr="00F97342">
        <w:rPr>
          <w:rFonts w:ascii="標楷體" w:eastAsia="標楷體" w:hAnsi="標楷體"/>
          <w:sz w:val="28"/>
          <w:szCs w:val="28"/>
        </w:rPr>
        <w:t>紓</w:t>
      </w:r>
      <w:proofErr w:type="gramEnd"/>
      <w:r w:rsidRPr="00F97342">
        <w:rPr>
          <w:rFonts w:ascii="標楷體" w:eastAsia="標楷體" w:hAnsi="標楷體"/>
          <w:sz w:val="28"/>
          <w:szCs w:val="28"/>
        </w:rPr>
        <w:t>壓、電影欣賞等活動，推動心理衛生。</w:t>
      </w:r>
    </w:p>
    <w:p w:rsidR="0015433E" w:rsidRPr="00F97342" w:rsidRDefault="0014494F">
      <w:pPr>
        <w:overflowPunct w:val="0"/>
        <w:spacing w:before="90" w:line="0" w:lineRule="atLeast"/>
        <w:ind w:left="1259" w:hanging="420"/>
        <w:jc w:val="both"/>
        <w:rPr>
          <w:rFonts w:ascii="標楷體" w:eastAsia="標楷體" w:hAnsi="標楷體"/>
          <w:sz w:val="28"/>
          <w:szCs w:val="28"/>
        </w:rPr>
      </w:pPr>
      <w:r w:rsidRPr="00F97342">
        <w:rPr>
          <w:rFonts w:ascii="標楷體" w:eastAsia="標楷體" w:hAnsi="標楷體"/>
          <w:sz w:val="28"/>
          <w:szCs w:val="28"/>
        </w:rPr>
        <w:t>11.持續辦理學生諮商輔導：進行三級預防工作，包含專題演講、班級座談，專兼任心理師持續提供個別諮商、心理測驗、團體諮商、危機個案處理。</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lastRenderedPageBreak/>
        <w:t>12.辦理教職員及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13.建立衛生教育環境：除了本校既有的體育優良運動環境外，針對健康促進衛教宣導，從衛教櫥窗、廁所、階梯等硬體設施張貼衛教小叮嚀外，亦於本校網頁、FB粉絲專頁或mail全校師生宣導各項E化衛教訊息，使衛教資訊從生活潛移默化學習。</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另辦理免費</w:t>
      </w:r>
      <w:proofErr w:type="gramStart"/>
      <w:r w:rsidRPr="00F97342">
        <w:rPr>
          <w:rFonts w:ascii="標楷體" w:eastAsia="標楷體" w:hAnsi="標楷體"/>
          <w:sz w:val="28"/>
          <w:szCs w:val="28"/>
        </w:rPr>
        <w:t>複</w:t>
      </w:r>
      <w:proofErr w:type="gramEnd"/>
      <w:r w:rsidRPr="00F97342">
        <w:rPr>
          <w:rFonts w:ascii="標楷體" w:eastAsia="標楷體" w:hAnsi="標楷體"/>
          <w:sz w:val="28"/>
          <w:szCs w:val="28"/>
        </w:rPr>
        <w:t>檢及衛教諮詢活動，針對學生健檢異常率高之項目辦理相關衛教講座，以建立學生健康自我照護之理念。</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15.義診諮詢服務：因應本校辦學為運動特色，特別加強運動醫學防護觀念，故與知名大醫院合作，如：長庚醫療體系醫院、</w:t>
      </w:r>
      <w:proofErr w:type="gramStart"/>
      <w:r w:rsidRPr="00F97342">
        <w:rPr>
          <w:rFonts w:ascii="標楷體" w:eastAsia="標楷體" w:hAnsi="標楷體"/>
          <w:sz w:val="28"/>
          <w:szCs w:val="28"/>
        </w:rPr>
        <w:t>聯新國際</w:t>
      </w:r>
      <w:proofErr w:type="gramEnd"/>
      <w:r w:rsidRPr="00F97342">
        <w:rPr>
          <w:rFonts w:ascii="標楷體" w:eastAsia="標楷體" w:hAnsi="標楷體"/>
          <w:sz w:val="28"/>
          <w:szCs w:val="28"/>
        </w:rPr>
        <w:t>醫院及台北聯合醫院等，聘邀運動醫學相關科別名醫，如：復健科、骨科、中醫等提供免費醫學諮詢義診。</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16.舉辦促進就業服務活動：為使在校學生認識未來就業市場發展之趨勢，提早做好生涯及求職之準備，持續提供就業、考試、升學資訊、政府部門相關就業補助及輔導方案與宣導，並於每學年舉辦職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發展系列專題演講、就業增能活動及產業參訪觀摩等。</w:t>
      </w:r>
    </w:p>
    <w:p w:rsidR="0015433E" w:rsidRPr="00F97342" w:rsidRDefault="0014494F">
      <w:pPr>
        <w:spacing w:before="90" w:line="0" w:lineRule="atLeast"/>
        <w:ind w:left="1260" w:hanging="420"/>
        <w:jc w:val="both"/>
      </w:pPr>
      <w:r w:rsidRPr="00F97342">
        <w:rPr>
          <w:rFonts w:ascii="標楷體" w:eastAsia="標楷體" w:hAnsi="標楷體"/>
          <w:sz w:val="28"/>
          <w:szCs w:val="28"/>
        </w:rPr>
        <w:t>17.辦理校友交流與回饋活動：校友是學校重要的資產，許多畢業校友於職場中表現優異，希冀廣邀傑出校友返校進行講座、座談會等交流活動的方式，</w:t>
      </w:r>
      <w:r w:rsidRPr="00F97342">
        <w:rPr>
          <w:rFonts w:eastAsia="標楷體"/>
          <w:sz w:val="28"/>
          <w:szCs w:val="28"/>
        </w:rPr>
        <w:t>透過校友的回饋，協助學生實習就業機會，包括有系統的傳授工作經驗、分享自我調整歷程，以及提供職場體驗、見習、實習場所，了解學生畢業出路及其所學與工作之關聯度，以作為輔導在校生的職前訓練之參考，使學習更貼近產業所需。</w:t>
      </w:r>
    </w:p>
    <w:p w:rsidR="0015433E" w:rsidRPr="00F97342" w:rsidRDefault="0014494F">
      <w:pPr>
        <w:overflowPunct w:val="0"/>
        <w:spacing w:before="90" w:line="0" w:lineRule="atLeast"/>
        <w:ind w:left="1259" w:hanging="420"/>
        <w:jc w:val="both"/>
        <w:rPr>
          <w:rFonts w:ascii="標楷體" w:eastAsia="標楷體" w:hAnsi="標楷體"/>
          <w:sz w:val="28"/>
          <w:szCs w:val="28"/>
        </w:rPr>
      </w:pPr>
      <w:r w:rsidRPr="00F97342">
        <w:rPr>
          <w:rFonts w:ascii="標楷體" w:eastAsia="標楷體" w:hAnsi="標楷體"/>
          <w:sz w:val="28"/>
          <w:szCs w:val="28"/>
        </w:rPr>
        <w:t>18.推動勞工健康檢查：自107年起，</w:t>
      </w:r>
      <w:proofErr w:type="gramStart"/>
      <w:r w:rsidRPr="00F97342">
        <w:rPr>
          <w:rFonts w:ascii="標楷體" w:eastAsia="標楷體" w:hAnsi="標楷體"/>
          <w:sz w:val="28"/>
          <w:szCs w:val="28"/>
        </w:rPr>
        <w:t>每三年特請</w:t>
      </w:r>
      <w:proofErr w:type="gramEnd"/>
      <w:r w:rsidRPr="00F97342">
        <w:rPr>
          <w:rFonts w:ascii="標楷體" w:eastAsia="標楷體" w:hAnsi="標楷體"/>
          <w:sz w:val="28"/>
          <w:szCs w:val="28"/>
        </w:rPr>
        <w:t>專業醫療團隊，針對校內工作期滿一年以上之教職員工，配合學校辦理健康檢查活動，將健檢資料裝訂成冊及製作統計圖表，並針對特殊個案，持續進行追蹤與輔導；另辦理免費衛教諮詢活動、針對健檢異常率高之項目辦理相關衛教講座，以提升教職員健康觀念。</w:t>
      </w:r>
    </w:p>
    <w:p w:rsidR="0015433E" w:rsidRPr="00F97342" w:rsidRDefault="0014494F">
      <w:pPr>
        <w:spacing w:before="90" w:line="0" w:lineRule="atLeast"/>
        <w:ind w:left="1260" w:hanging="420"/>
        <w:jc w:val="both"/>
      </w:pPr>
      <w:r w:rsidRPr="00F97342">
        <w:rPr>
          <w:rFonts w:ascii="標楷體" w:eastAsia="標楷體" w:hAnsi="標楷體"/>
          <w:sz w:val="28"/>
          <w:szCs w:val="28"/>
        </w:rPr>
        <w:t>19.推動勞工職場四大計畫措施(人因工程、異常工時、職場不乏侵害</w:t>
      </w:r>
      <w:r w:rsidRPr="00F97342">
        <w:rPr>
          <w:rFonts w:ascii="標楷體" w:eastAsia="標楷體" w:hAnsi="標楷體"/>
          <w:sz w:val="28"/>
          <w:szCs w:val="28"/>
        </w:rPr>
        <w:lastRenderedPageBreak/>
        <w:t>及母性保護措施)：為提升本校勞工健康</w:t>
      </w:r>
      <w:proofErr w:type="gramStart"/>
      <w:r w:rsidRPr="00F97342">
        <w:rPr>
          <w:rFonts w:ascii="標楷體" w:eastAsia="標楷體" w:hAnsi="標楷體"/>
          <w:sz w:val="28"/>
          <w:szCs w:val="28"/>
        </w:rPr>
        <w:t>照護率</w:t>
      </w:r>
      <w:proofErr w:type="gramEnd"/>
      <w:r w:rsidRPr="00F97342">
        <w:rPr>
          <w:rFonts w:ascii="標楷體" w:eastAsia="標楷體" w:hAnsi="標楷體"/>
          <w:sz w:val="28"/>
          <w:szCs w:val="28"/>
        </w:rPr>
        <w:t>，以落實職業病預防、勞工身心健康保護措施、健康檢查監控、健康分級管理、</w:t>
      </w:r>
      <w:proofErr w:type="gramStart"/>
      <w:r w:rsidRPr="00F97342">
        <w:rPr>
          <w:rFonts w:ascii="標楷體" w:eastAsia="標楷體" w:hAnsi="標楷體"/>
          <w:sz w:val="28"/>
          <w:szCs w:val="28"/>
        </w:rPr>
        <w:t>配選工</w:t>
      </w:r>
      <w:proofErr w:type="gramEnd"/>
      <w:r w:rsidRPr="00F97342">
        <w:rPr>
          <w:rFonts w:ascii="標楷體" w:eastAsia="標楷體" w:hAnsi="標楷體"/>
          <w:sz w:val="28"/>
          <w:szCs w:val="28"/>
        </w:rPr>
        <w:t>及促進健康工作等。自107年起，校內</w:t>
      </w:r>
      <w:proofErr w:type="gramStart"/>
      <w:r w:rsidRPr="00F97342">
        <w:rPr>
          <w:rFonts w:ascii="標楷體" w:eastAsia="標楷體" w:hAnsi="標楷體"/>
          <w:sz w:val="28"/>
          <w:szCs w:val="28"/>
        </w:rPr>
        <w:t>教職員工需依法</w:t>
      </w:r>
      <w:proofErr w:type="gramEnd"/>
      <w:r w:rsidRPr="00F97342">
        <w:rPr>
          <w:rFonts w:ascii="標楷體" w:eastAsia="標楷體" w:hAnsi="標楷體"/>
          <w:sz w:val="28"/>
          <w:szCs w:val="28"/>
        </w:rPr>
        <w:t xml:space="preserve">配合勞工職場四大計畫實施及管理作業，確實實施及執行，以有效促進勞工身心健康。 </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20.辦理職業醫學專科醫師臨場服務：依勞工健康保護規則之規定聘請職業醫學專科醫師針對校內教職員工身心健康執行臨場服務</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如：作業現場的危害辨識、評估及提出建議、勞工的健康諮詢和風險管理、協助辦理健康促進活動、職業傷病診斷、勞工體格/健康檢查判定級數</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 xml:space="preserve">以提供校內教職員工更健康之工作場所及提升自我健康照護概念。 </w:t>
      </w:r>
    </w:p>
    <w:p w:rsidR="0015433E" w:rsidRPr="00F97342" w:rsidRDefault="0014494F">
      <w:pPr>
        <w:spacing w:before="90" w:line="0" w:lineRule="atLeast"/>
        <w:ind w:left="1157" w:hanging="557"/>
        <w:jc w:val="both"/>
      </w:pPr>
      <w:r w:rsidRPr="00F97342">
        <w:rPr>
          <w:rFonts w:ascii="標楷體" w:eastAsia="標楷體" w:hAnsi="標楷體"/>
          <w:sz w:val="28"/>
          <w:szCs w:val="28"/>
        </w:rPr>
        <w:t>(三)研究目標</w:t>
      </w:r>
    </w:p>
    <w:p w:rsidR="0015433E" w:rsidRPr="00F97342" w:rsidRDefault="0014494F">
      <w:pPr>
        <w:spacing w:before="90" w:line="0" w:lineRule="atLeast"/>
        <w:ind w:left="1120" w:hanging="280"/>
        <w:jc w:val="both"/>
      </w:pPr>
      <w:r w:rsidRPr="00F97342">
        <w:rPr>
          <w:rFonts w:ascii="標楷體" w:eastAsia="標楷體" w:hAnsi="標楷體" w:cs="新細明體"/>
          <w:kern w:val="0"/>
          <w:sz w:val="28"/>
          <w:szCs w:val="28"/>
        </w:rPr>
        <w:t>1.</w:t>
      </w:r>
      <w:r w:rsidRPr="00F97342">
        <w:rPr>
          <w:rFonts w:ascii="標楷體" w:eastAsia="標楷體" w:hAnsi="標楷體"/>
          <w:color w:val="000000"/>
          <w:sz w:val="28"/>
          <w:szCs w:val="28"/>
        </w:rPr>
        <w:t>提昇</w:t>
      </w:r>
      <w:r w:rsidRPr="00F97342">
        <w:rPr>
          <w:rFonts w:ascii="標楷體" w:eastAsia="標楷體" w:hAnsi="標楷體" w:cs="新細明體"/>
          <w:kern w:val="0"/>
          <w:sz w:val="28"/>
          <w:szCs w:val="28"/>
        </w:rPr>
        <w:t>學術研究水準：</w:t>
      </w:r>
      <w:r w:rsidRPr="00F97342">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(1)規劃並推動本校學術研究相關獎勵制度：為鼓勵專任教師、研究人員、專業技術人員投入學術研究，並將其研究成果發表於國際著名期刊，以增進本校師生研究量能，訂有相關獎勵辦法、國光獎章競技奪牌及教學傑出等表現優秀之教師與教練相關獎勵。</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(2)為鼓勵教師赴國外或大陸參與國際學術會議與專業研習活動，發表學術研究成果、提升教師專業知識與技能、擴大國際視野，訂有補助教師出席國際活動作業要點，另為提升學術風氣、鼓勵教師與研究員研究升等、爭取各政府機關補助之研究計畫，亦訂定補助研究計畫作業要點。</w:t>
      </w:r>
    </w:p>
    <w:p w:rsidR="0015433E" w:rsidRPr="00F97342" w:rsidRDefault="0014494F">
      <w:pPr>
        <w:overflowPunct w:val="0"/>
        <w:spacing w:before="90" w:line="0" w:lineRule="atLeast"/>
        <w:ind w:left="1378" w:hanging="420"/>
        <w:jc w:val="both"/>
        <w:rPr>
          <w:rFonts w:ascii="標楷體" w:eastAsia="標楷體" w:hAnsi="標楷體"/>
          <w:kern w:val="0"/>
          <w:sz w:val="28"/>
          <w:szCs w:val="28"/>
        </w:rPr>
      </w:pPr>
      <w:r w:rsidRPr="00F97342">
        <w:rPr>
          <w:rFonts w:ascii="標楷體" w:eastAsia="標楷體" w:hAnsi="標楷體"/>
          <w:kern w:val="0"/>
          <w:sz w:val="28"/>
          <w:szCs w:val="28"/>
        </w:rPr>
        <w:t>(3)為增進博士生對專業新知、技術發展及新研究方法之瞭解，以及鼓勵學生出國參加各項國際學術會議、運動競賽、技(藝)能競賽、訓練、講習與研習活動，提供相關補助經費，增進其國際競爭力，藉以提昇本校之國際地位與促進國際交流。</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(4)依據教育部報奉行政院同意之「延攬及留住大專校院特殊優秀人才實施彈性薪資方案」，本校將陸續送科技部申請補助研究獎勵計畫，並依教育部高教深耕計畫辦理本校彈性薪資獎勵。</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(5)積極瞭解科技部、教育部計畫申請條件與限制，完整傳遞訊息並協助教師執行計畫之相關行政業務，以爭取經費補助。</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w:t>
      </w:r>
      <w:r w:rsidRPr="00F97342">
        <w:rPr>
          <w:rFonts w:ascii="標楷體" w:eastAsia="標楷體" w:hAnsi="標楷體"/>
          <w:kern w:val="0"/>
          <w:sz w:val="28"/>
          <w:szCs w:val="28"/>
        </w:rPr>
        <w:lastRenderedPageBreak/>
        <w:t>除積極申請科技部專題研究計畫外，擬賡續向經濟部爭取相關產學合作計畫，增加與廠商合作機會，以提升學術研究水準。</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(6)為協助教師研究計畫之申請與執行，並符合相關規範，積極與其他單位合作人體研究計畫審查事宜，與已簽訂合作之單位，包括台灣大學、輔仁大學、台北市立大學、台灣師範大學與</w:t>
      </w:r>
      <w:proofErr w:type="gramStart"/>
      <w:r w:rsidRPr="00F97342">
        <w:rPr>
          <w:rFonts w:ascii="標楷體" w:eastAsia="標楷體" w:hAnsi="標楷體"/>
          <w:kern w:val="0"/>
          <w:sz w:val="28"/>
          <w:szCs w:val="28"/>
        </w:rPr>
        <w:t>壢</w:t>
      </w:r>
      <w:proofErr w:type="gramEnd"/>
      <w:r w:rsidRPr="00F97342">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年度將有10案申請相關動物實驗計畫案。</w:t>
      </w:r>
    </w:p>
    <w:p w:rsidR="0015433E" w:rsidRPr="00F97342" w:rsidRDefault="0014494F">
      <w:pPr>
        <w:overflowPunct w:val="0"/>
        <w:spacing w:before="90" w:line="0" w:lineRule="atLeast"/>
        <w:ind w:left="1117" w:hanging="278"/>
        <w:jc w:val="both"/>
      </w:pPr>
      <w:r w:rsidRPr="00F97342">
        <w:rPr>
          <w:rFonts w:ascii="標楷體" w:eastAsia="標楷體" w:hAnsi="標楷體"/>
          <w:sz w:val="28"/>
          <w:szCs w:val="28"/>
        </w:rPr>
        <w:t>2.</w:t>
      </w:r>
      <w:r w:rsidRPr="00F97342">
        <w:rPr>
          <w:rFonts w:ascii="標楷體" w:eastAsia="標楷體" w:hAnsi="標楷體" w:cs="新細明體"/>
          <w:kern w:val="0"/>
          <w:sz w:val="28"/>
          <w:szCs w:val="28"/>
        </w:rPr>
        <w:t>強化</w:t>
      </w:r>
      <w:r w:rsidRPr="00F97342">
        <w:rPr>
          <w:rFonts w:ascii="標楷體" w:eastAsia="標楷體" w:hAnsi="標楷體"/>
          <w:sz w:val="28"/>
          <w:szCs w:val="28"/>
        </w:rPr>
        <w:t>產學合作：本校積極協助教師產學合作、研發成果產出、專利申請及技術移轉事宜，並</w:t>
      </w:r>
      <w:proofErr w:type="gramStart"/>
      <w:r w:rsidRPr="00F97342">
        <w:rPr>
          <w:rFonts w:ascii="標楷體" w:eastAsia="標楷體" w:hAnsi="標楷體"/>
          <w:sz w:val="28"/>
          <w:szCs w:val="28"/>
        </w:rPr>
        <w:t>建構產學</w:t>
      </w:r>
      <w:proofErr w:type="gramEnd"/>
      <w:r w:rsidRPr="00F97342">
        <w:rPr>
          <w:rFonts w:ascii="標楷體" w:eastAsia="標楷體" w:hAnsi="標楷體"/>
          <w:sz w:val="28"/>
          <w:szCs w:val="28"/>
        </w:rPr>
        <w:t>合作平臺，協助廠商研發及創新技術。另各系所亦積極爭取教育部及其他機關團體補助或委辦計畫，以應用研發能量貢獻於產業界，提升學術研究水準。</w:t>
      </w:r>
    </w:p>
    <w:p w:rsidR="0015433E" w:rsidRPr="00F97342" w:rsidRDefault="0014494F">
      <w:pPr>
        <w:overflowPunct w:val="0"/>
        <w:spacing w:before="90" w:line="0" w:lineRule="atLeast"/>
        <w:ind w:left="1378" w:hanging="420"/>
        <w:jc w:val="both"/>
      </w:pPr>
      <w:r w:rsidRPr="00F97342">
        <w:rPr>
          <w:rFonts w:ascii="標楷體" w:eastAsia="標楷體" w:hAnsi="標楷體"/>
          <w:kern w:val="0"/>
          <w:sz w:val="28"/>
          <w:szCs w:val="28"/>
        </w:rPr>
        <w:t>(1)鼓勵教師進行產學合作與專利研發：為鼓勵本校教師積極參與產學合作，應用研發能量貢獻於產業界，裨益產業技術升級與發展，訂定相關獎勵辦法，用以獎勵本校教師產出之發明、新型與設計專利並鼓勵教師向政府單位及企業積極爭取相關產學合作計畫。預估</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年度將有30件產學合作計畫進行。</w:t>
      </w:r>
    </w:p>
    <w:p w:rsidR="0015433E" w:rsidRPr="00F97342" w:rsidRDefault="0014494F">
      <w:pPr>
        <w:overflowPunct w:val="0"/>
        <w:spacing w:before="90" w:line="0" w:lineRule="atLeast"/>
        <w:ind w:left="1378" w:hanging="420"/>
        <w:jc w:val="both"/>
        <w:rPr>
          <w:rFonts w:ascii="標楷體" w:eastAsia="標楷體" w:hAnsi="標楷體"/>
          <w:kern w:val="0"/>
          <w:sz w:val="28"/>
          <w:szCs w:val="28"/>
        </w:rPr>
      </w:pPr>
      <w:r w:rsidRPr="00F97342">
        <w:rPr>
          <w:rFonts w:ascii="標楷體" w:eastAsia="標楷體" w:hAnsi="標楷體"/>
          <w:kern w:val="0"/>
          <w:sz w:val="28"/>
          <w:szCs w:val="28"/>
        </w:rPr>
        <w:t>(2)積極發展創新育成中心：近年來積極建立產學合作環境，並提供</w:t>
      </w:r>
      <w:proofErr w:type="gramStart"/>
      <w:r w:rsidRPr="00F97342">
        <w:rPr>
          <w:rFonts w:ascii="標楷體" w:eastAsia="標楷體" w:hAnsi="標楷體"/>
          <w:kern w:val="0"/>
          <w:sz w:val="28"/>
          <w:szCs w:val="28"/>
        </w:rPr>
        <w:t>產學媒合</w:t>
      </w:r>
      <w:proofErr w:type="gramEnd"/>
      <w:r w:rsidRPr="00F97342">
        <w:rPr>
          <w:rFonts w:ascii="標楷體" w:eastAsia="標楷體" w:hAnsi="標楷體"/>
          <w:kern w:val="0"/>
          <w:sz w:val="28"/>
          <w:szCs w:val="28"/>
        </w:rPr>
        <w:t>服務，於結合產官學研究資源之下，不斷創新知識與技術，冀能協助</w:t>
      </w:r>
      <w:proofErr w:type="gramStart"/>
      <w:r w:rsidRPr="00F97342">
        <w:rPr>
          <w:rFonts w:ascii="標楷體" w:eastAsia="標楷體" w:hAnsi="標楷體"/>
          <w:kern w:val="0"/>
          <w:sz w:val="28"/>
          <w:szCs w:val="28"/>
        </w:rPr>
        <w:t>產業厚值競爭</w:t>
      </w:r>
      <w:proofErr w:type="gramEnd"/>
      <w:r w:rsidRPr="00F97342">
        <w:rPr>
          <w:rFonts w:ascii="標楷體" w:eastAsia="標楷體" w:hAnsi="標楷體"/>
          <w:kern w:val="0"/>
          <w:sz w:val="28"/>
          <w:szCs w:val="28"/>
        </w:rPr>
        <w:t>力，所累積之產業</w:t>
      </w:r>
      <w:proofErr w:type="gramStart"/>
      <w:r w:rsidRPr="00F97342">
        <w:rPr>
          <w:rFonts w:ascii="標楷體" w:eastAsia="標楷體" w:hAnsi="標楷體"/>
          <w:kern w:val="0"/>
          <w:sz w:val="28"/>
          <w:szCs w:val="28"/>
        </w:rPr>
        <w:t>基礎均有</w:t>
      </w:r>
      <w:proofErr w:type="gramEnd"/>
      <w:r w:rsidRPr="00F97342">
        <w:rPr>
          <w:rFonts w:ascii="標楷體" w:eastAsia="標楷體" w:hAnsi="標楷體"/>
          <w:kern w:val="0"/>
          <w:sz w:val="28"/>
          <w:szCs w:val="28"/>
        </w:rPr>
        <w:t>其競爭之利基，並聚焦於「運動生技」、「體育運動科技」及「運動保健」等核心領域。</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年度擬賡續推動產學合作結合進駐輔導，並支持校友創新創業進駐輔導。藉由各種不同專業領域的廠商提供本校研發能量，將提昇各種學術研究之成果。</w:t>
      </w:r>
    </w:p>
    <w:p w:rsidR="0015433E" w:rsidRPr="00F97342" w:rsidRDefault="0014494F">
      <w:pPr>
        <w:overflowPunct w:val="0"/>
        <w:spacing w:before="90" w:line="0" w:lineRule="atLeast"/>
        <w:ind w:left="1117" w:hanging="278"/>
        <w:jc w:val="both"/>
      </w:pPr>
      <w:r w:rsidRPr="00F97342">
        <w:rPr>
          <w:rFonts w:ascii="標楷體" w:eastAsia="標楷體" w:hAnsi="標楷體"/>
          <w:kern w:val="0"/>
          <w:sz w:val="28"/>
          <w:szCs w:val="28"/>
        </w:rPr>
        <w:t>3.</w:t>
      </w:r>
      <w:r w:rsidRPr="00F97342">
        <w:rPr>
          <w:rFonts w:ascii="標楷體" w:eastAsia="標楷體" w:hAnsi="標楷體"/>
          <w:sz w:val="28"/>
          <w:szCs w:val="28"/>
        </w:rPr>
        <w:t>拓展國際</w:t>
      </w:r>
      <w:r w:rsidRPr="00F97342">
        <w:rPr>
          <w:rFonts w:ascii="標楷體" w:eastAsia="標楷體" w:hAnsi="標楷體" w:cs="新細明體"/>
          <w:kern w:val="0"/>
          <w:sz w:val="28"/>
          <w:szCs w:val="28"/>
        </w:rPr>
        <w:t>學術</w:t>
      </w:r>
      <w:r w:rsidRPr="00F97342">
        <w:rPr>
          <w:rFonts w:ascii="標楷體" w:eastAsia="標楷體" w:hAnsi="標楷體"/>
          <w:sz w:val="28"/>
          <w:szCs w:val="28"/>
        </w:rPr>
        <w:t>交流：本校積極辦理與國外大學及國際組織之合作與交流，以及外籍生入學及本校學生赴外交換、雙聯學制申請等事宜。</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(1)積極建立與姊妹校之間學術友好同盟合約。</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(2)辦理國際交換學生及海外師生交流團。</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(3)協調辦理學生海外學習事宜。</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(4)聘任海外優秀學者專家至本校講學。</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(5)邀請國際學者蒞校進行學術交流。</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(四)打造具有專業特色的體育高等教育學府</w:t>
      </w:r>
    </w:p>
    <w:p w:rsidR="0015433E" w:rsidRPr="00F97342" w:rsidRDefault="0014494F">
      <w:pPr>
        <w:spacing w:before="90" w:line="0" w:lineRule="atLeast"/>
        <w:ind w:left="1200" w:firstLine="560"/>
        <w:jc w:val="both"/>
        <w:rPr>
          <w:rFonts w:ascii="標楷體" w:eastAsia="標楷體" w:hAnsi="標楷體"/>
          <w:sz w:val="28"/>
          <w:szCs w:val="28"/>
        </w:rPr>
      </w:pPr>
      <w:r w:rsidRPr="00F97342">
        <w:rPr>
          <w:rFonts w:ascii="標楷體" w:eastAsia="標楷體" w:hAnsi="標楷體"/>
          <w:sz w:val="28"/>
          <w:szCs w:val="28"/>
        </w:rPr>
        <w:t>為因應近十年高等教育主要環境趨勢的改變（少子女化、國際化及數位化），本校自我定位為「專業特色」型大學，期許能夠扮</w:t>
      </w:r>
      <w:r w:rsidRPr="00F97342">
        <w:rPr>
          <w:rFonts w:ascii="標楷體" w:eastAsia="標楷體" w:hAnsi="標楷體"/>
          <w:sz w:val="28"/>
          <w:szCs w:val="28"/>
        </w:rPr>
        <w:lastRenderedPageBreak/>
        <w:t>演體育高等教育的領頭羊、奧運奪牌的火車頭、運動科學的研發基地、運動產業的創新育成中心、國際體育事務人才的搖籃及體育師資培育的養成所。</w:t>
      </w:r>
    </w:p>
    <w:p w:rsidR="0015433E" w:rsidRPr="00F97342" w:rsidRDefault="0014494F">
      <w:pPr>
        <w:spacing w:before="90" w:line="0" w:lineRule="atLeast"/>
        <w:ind w:left="800" w:hanging="560"/>
        <w:jc w:val="both"/>
        <w:rPr>
          <w:rFonts w:ascii="標楷體" w:eastAsia="標楷體" w:hAnsi="標楷體"/>
          <w:sz w:val="28"/>
          <w:szCs w:val="28"/>
        </w:rPr>
      </w:pPr>
      <w:r w:rsidRPr="00F97342">
        <w:rPr>
          <w:rFonts w:ascii="標楷體" w:eastAsia="標楷體" w:hAnsi="標楷體"/>
          <w:sz w:val="28"/>
          <w:szCs w:val="28"/>
        </w:rPr>
        <w:t>二、固定資產之建設、改良、擴充與其資金來源及其投資計畫之成本與效益分析:</w:t>
      </w:r>
    </w:p>
    <w:p w:rsidR="0015433E" w:rsidRPr="00F97342" w:rsidRDefault="0014494F">
      <w:pPr>
        <w:overflowPunct w:val="0"/>
        <w:spacing w:before="90" w:line="0" w:lineRule="atLeast"/>
        <w:ind w:left="851"/>
        <w:jc w:val="both"/>
        <w:rPr>
          <w:rFonts w:ascii="標楷體" w:eastAsia="標楷體" w:hAnsi="標楷體"/>
          <w:sz w:val="28"/>
          <w:szCs w:val="28"/>
        </w:rPr>
      </w:pPr>
      <w:r w:rsidRPr="00F97342">
        <w:rPr>
          <w:rFonts w:ascii="標楷體" w:eastAsia="標楷體" w:hAnsi="標楷體"/>
          <w:sz w:val="28"/>
          <w:szCs w:val="28"/>
        </w:rPr>
        <w:t>一般建築及設備計畫編列7,890萬1千元，包含</w:t>
      </w:r>
      <w:proofErr w:type="gramStart"/>
      <w:r w:rsidRPr="00F97342">
        <w:rPr>
          <w:rFonts w:ascii="標楷體" w:eastAsia="標楷體" w:hAnsi="標楷體"/>
          <w:sz w:val="28"/>
          <w:szCs w:val="28"/>
        </w:rPr>
        <w:t>分年性項目</w:t>
      </w:r>
      <w:proofErr w:type="gramEnd"/>
      <w:r w:rsidRPr="00F97342">
        <w:rPr>
          <w:rFonts w:ascii="標楷體" w:eastAsia="標楷體" w:hAnsi="標楷體"/>
          <w:sz w:val="28"/>
          <w:szCs w:val="28"/>
        </w:rPr>
        <w:t>1,198萬2千元，全數由營運資金支應；一次性項目6,691萬9千元，其中營運資金支應3,078萬8千元，國庫撥款3,613萬1千元，編列項目如次:</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(一)</w:t>
      </w:r>
      <w:proofErr w:type="gramStart"/>
      <w:r w:rsidRPr="00F97342">
        <w:rPr>
          <w:rFonts w:ascii="標楷體" w:eastAsia="標楷體" w:hAnsi="標楷體"/>
          <w:sz w:val="28"/>
          <w:szCs w:val="28"/>
        </w:rPr>
        <w:t>分年性項目</w:t>
      </w:r>
      <w:proofErr w:type="gramEnd"/>
      <w:r w:rsidRPr="00F97342">
        <w:rPr>
          <w:rFonts w:ascii="標楷體" w:eastAsia="標楷體" w:hAnsi="標楷體"/>
          <w:sz w:val="28"/>
          <w:szCs w:val="28"/>
        </w:rPr>
        <w:t>:房屋及建築1,198萬2千元，係國體運動中心新建工程總工程經費9,989萬元，計畫期程自107年至112年，107年編列2,145萬4千元，108年編列2,145萬4千元，110年編列2,500萬元，本年編列1,198萬2千元。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 xml:space="preserve">(二)一次性項目: </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1.土地改良物2,651萬元，係為提供大型賽事所需辦理之改善田徑場跑道工程。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2.房屋及建築890萬7千元，係為提供教學訓練比賽場地辦理之戶外籃球場整建工程。</w:t>
      </w:r>
    </w:p>
    <w:p w:rsidR="0015433E" w:rsidRPr="00F97342" w:rsidRDefault="0014494F">
      <w:pPr>
        <w:spacing w:before="90" w:line="0" w:lineRule="atLeast"/>
        <w:ind w:left="1120" w:hanging="280"/>
        <w:jc w:val="both"/>
      </w:pPr>
      <w:r w:rsidRPr="00F97342">
        <w:rPr>
          <w:rFonts w:ascii="標楷體" w:eastAsia="標楷體" w:hAnsi="標楷體"/>
          <w:sz w:val="28"/>
          <w:szCs w:val="28"/>
        </w:rPr>
        <w:t>3.</w:t>
      </w:r>
      <w:r w:rsidRPr="00F97342">
        <w:rPr>
          <w:rFonts w:ascii="標楷體" w:eastAsia="標楷體" w:hAnsi="標楷體"/>
          <w:kern w:val="0"/>
          <w:sz w:val="28"/>
          <w:szCs w:val="28"/>
        </w:rPr>
        <w:t>機械及設備1,212萬元，</w:t>
      </w:r>
      <w:r w:rsidR="00B5325B" w:rsidRPr="00F97342">
        <w:rPr>
          <w:rFonts w:ascii="標楷體" w:eastAsia="標楷體" w:hAnsi="標楷體"/>
          <w:sz w:val="28"/>
          <w:szCs w:val="28"/>
        </w:rPr>
        <w:t>主要係</w:t>
      </w:r>
      <w:r w:rsidR="00B5325B">
        <w:rPr>
          <w:rFonts w:ascii="標楷體" w:eastAsia="標楷體" w:hAnsi="標楷體"/>
          <w:kern w:val="0"/>
          <w:sz w:val="28"/>
          <w:szCs w:val="28"/>
        </w:rPr>
        <w:t>購置行政、教學</w:t>
      </w:r>
      <w:r w:rsidR="00B5325B">
        <w:rPr>
          <w:rFonts w:ascii="標楷體" w:eastAsia="標楷體" w:hAnsi="標楷體" w:hint="eastAsia"/>
          <w:kern w:val="0"/>
          <w:sz w:val="28"/>
          <w:szCs w:val="28"/>
        </w:rPr>
        <w:t>及</w:t>
      </w:r>
      <w:r w:rsidR="00212E21">
        <w:rPr>
          <w:rFonts w:ascii="標楷體" w:eastAsia="標楷體" w:hAnsi="標楷體"/>
          <w:kern w:val="0"/>
          <w:sz w:val="28"/>
          <w:szCs w:val="28"/>
        </w:rPr>
        <w:t>場館</w:t>
      </w:r>
      <w:r w:rsidR="00212E21">
        <w:rPr>
          <w:rFonts w:ascii="標楷體" w:eastAsia="標楷體" w:hAnsi="標楷體" w:hint="eastAsia"/>
          <w:kern w:val="0"/>
          <w:sz w:val="28"/>
          <w:szCs w:val="28"/>
        </w:rPr>
        <w:t>使用</w:t>
      </w:r>
      <w:r w:rsidRPr="00F97342">
        <w:rPr>
          <w:rFonts w:ascii="標楷體" w:eastAsia="標楷體" w:hAnsi="標楷體"/>
          <w:kern w:val="0"/>
          <w:sz w:val="28"/>
          <w:szCs w:val="28"/>
        </w:rPr>
        <w:t>儀器設備等</w:t>
      </w:r>
      <w:r w:rsidRPr="00F97342">
        <w:rPr>
          <w:rFonts w:ascii="標楷體" w:eastAsia="標楷體" w:hAnsi="標楷體"/>
          <w:sz w:val="28"/>
          <w:szCs w:val="28"/>
        </w:rPr>
        <w:t xml:space="preserve">。 </w:t>
      </w:r>
    </w:p>
    <w:p w:rsidR="0015433E" w:rsidRPr="00F97342" w:rsidRDefault="0014494F">
      <w:pPr>
        <w:spacing w:before="90" w:line="0" w:lineRule="atLeast"/>
        <w:ind w:left="1120" w:hanging="280"/>
        <w:jc w:val="both"/>
      </w:pPr>
      <w:r w:rsidRPr="00F97342">
        <w:rPr>
          <w:rFonts w:ascii="標楷體" w:eastAsia="標楷體" w:hAnsi="標楷體"/>
          <w:sz w:val="28"/>
          <w:szCs w:val="28"/>
        </w:rPr>
        <w:t>4.</w:t>
      </w:r>
      <w:r w:rsidRPr="00F97342">
        <w:rPr>
          <w:rFonts w:ascii="標楷體" w:eastAsia="標楷體" w:hAnsi="標楷體"/>
          <w:kern w:val="0"/>
          <w:sz w:val="28"/>
          <w:szCs w:val="28"/>
        </w:rPr>
        <w:t>交通及運輸設備116萬4千元，</w:t>
      </w:r>
      <w:r w:rsidR="00B5325B" w:rsidRPr="00F97342">
        <w:rPr>
          <w:rFonts w:ascii="標楷體" w:eastAsia="標楷體" w:hAnsi="標楷體"/>
          <w:sz w:val="28"/>
          <w:szCs w:val="28"/>
        </w:rPr>
        <w:t>主要係</w:t>
      </w:r>
      <w:r w:rsidRPr="00F97342">
        <w:rPr>
          <w:rFonts w:ascii="標楷體" w:eastAsia="標楷體" w:hAnsi="標楷體"/>
          <w:kern w:val="0"/>
          <w:sz w:val="28"/>
          <w:szCs w:val="28"/>
        </w:rPr>
        <w:t>購置教學用擴音器及會議室音響設備等。</w:t>
      </w:r>
    </w:p>
    <w:p w:rsidR="0015433E" w:rsidRPr="00F97342" w:rsidRDefault="0014494F">
      <w:pPr>
        <w:spacing w:before="90" w:line="0" w:lineRule="atLeast"/>
        <w:ind w:left="1120" w:hanging="280"/>
        <w:jc w:val="both"/>
      </w:pPr>
      <w:r w:rsidRPr="00F97342">
        <w:rPr>
          <w:rFonts w:ascii="標楷體" w:eastAsia="標楷體" w:hAnsi="標楷體"/>
          <w:sz w:val="28"/>
          <w:szCs w:val="28"/>
        </w:rPr>
        <w:t>5.什項設備1,821萬8千元，主要係購置圖書設備</w:t>
      </w:r>
      <w:r w:rsidRPr="00F97342">
        <w:rPr>
          <w:rFonts w:ascii="標楷體" w:eastAsia="標楷體" w:hAnsi="標楷體"/>
          <w:kern w:val="0"/>
          <w:sz w:val="28"/>
          <w:szCs w:val="28"/>
        </w:rPr>
        <w:t>、教學</w:t>
      </w:r>
      <w:r w:rsidRPr="00F97342">
        <w:rPr>
          <w:rFonts w:ascii="標楷體" w:eastAsia="標楷體" w:hAnsi="標楷體"/>
          <w:sz w:val="28"/>
          <w:szCs w:val="28"/>
        </w:rPr>
        <w:t>及場館</w:t>
      </w:r>
      <w:r w:rsidR="00212E21">
        <w:rPr>
          <w:rFonts w:ascii="標楷體" w:eastAsia="標楷體" w:hAnsi="標楷體" w:hint="eastAsia"/>
          <w:sz w:val="28"/>
          <w:szCs w:val="28"/>
        </w:rPr>
        <w:t>使</w:t>
      </w:r>
      <w:r w:rsidRPr="00F97342">
        <w:rPr>
          <w:rFonts w:ascii="標楷體" w:eastAsia="標楷體" w:hAnsi="標楷體"/>
          <w:sz w:val="28"/>
          <w:szCs w:val="28"/>
        </w:rPr>
        <w:t>用設備等。</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w:t>
      </w:r>
      <w:proofErr w:type="gramStart"/>
      <w:r w:rsidRPr="00F97342">
        <w:rPr>
          <w:rFonts w:ascii="標楷體" w:eastAsia="標楷體" w:hAnsi="標楷體"/>
          <w:sz w:val="28"/>
          <w:szCs w:val="28"/>
        </w:rPr>
        <w:t>111</w:t>
      </w:r>
      <w:proofErr w:type="gramEnd"/>
      <w:r w:rsidRPr="00F97342">
        <w:rPr>
          <w:rFonts w:ascii="標楷體" w:eastAsia="標楷體" w:hAnsi="標楷體"/>
          <w:sz w:val="28"/>
          <w:szCs w:val="28"/>
        </w:rPr>
        <w:t>年度固定資產建設改良擴充及資金來源詳見圖1。</w:t>
      </w:r>
    </w:p>
    <w:p w:rsidR="0015433E" w:rsidRPr="00F97342" w:rsidRDefault="0015433E">
      <w:pPr>
        <w:pageBreakBefore/>
        <w:widowControl/>
        <w:spacing w:line="0" w:lineRule="atLeast"/>
        <w:rPr>
          <w:rFonts w:ascii="標楷體" w:eastAsia="標楷體" w:hAnsi="標楷體"/>
          <w:sz w:val="28"/>
          <w:szCs w:val="28"/>
        </w:rPr>
      </w:pPr>
    </w:p>
    <w:tbl>
      <w:tblPr>
        <w:tblW w:w="17628" w:type="dxa"/>
        <w:tblInd w:w="28" w:type="dxa"/>
        <w:tblCellMar>
          <w:left w:w="10" w:type="dxa"/>
          <w:right w:w="10" w:type="dxa"/>
        </w:tblCellMar>
        <w:tblLook w:val="0000" w:firstRow="0" w:lastRow="0" w:firstColumn="0" w:lastColumn="0" w:noHBand="0" w:noVBand="0"/>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15433E" w:rsidRPr="00F97342">
        <w:trPr>
          <w:trHeight w:val="440"/>
        </w:trPr>
        <w:tc>
          <w:tcPr>
            <w:tcW w:w="17628" w:type="dxa"/>
            <w:gridSpan w:val="16"/>
            <w:shd w:val="clear" w:color="auto" w:fill="auto"/>
            <w:noWrap/>
            <w:tcMar>
              <w:top w:w="0" w:type="dxa"/>
              <w:left w:w="28" w:type="dxa"/>
              <w:bottom w:w="0" w:type="dxa"/>
              <w:right w:w="28" w:type="dxa"/>
            </w:tcMar>
          </w:tcPr>
          <w:p w:rsidR="0015433E" w:rsidRPr="00F97342" w:rsidRDefault="0014494F">
            <w:pPr>
              <w:widowControl/>
              <w:ind w:firstLine="144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t xml:space="preserve">圖1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年度固定資產建設改良擴充及資金來源</w:t>
            </w:r>
          </w:p>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建設改良擴充</w:t>
            </w:r>
          </w:p>
          <w:p w:rsidR="0015433E" w:rsidRPr="00F97342" w:rsidRDefault="0014494F">
            <w:pPr>
              <w:widowControl/>
            </w:pPr>
            <w:r w:rsidRPr="00F97342">
              <w:rPr>
                <w:noProof/>
              </w:rPr>
              <w:drawing>
                <wp:inline distT="0" distB="0" distL="0" distR="0">
                  <wp:extent cx="5904866" cy="2964183"/>
                  <wp:effectExtent l="0" t="0" r="635" b="762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433E" w:rsidRPr="00F97342" w:rsidRDefault="0015433E">
            <w:pPr>
              <w:widowControl/>
            </w:pPr>
          </w:p>
        </w:tc>
      </w:tr>
      <w:tr w:rsidR="0015433E" w:rsidRPr="00F97342">
        <w:trPr>
          <w:trHeight w:val="322"/>
        </w:trPr>
        <w:tc>
          <w:tcPr>
            <w:tcW w:w="9536" w:type="dxa"/>
            <w:gridSpan w:val="9"/>
            <w:shd w:val="clear" w:color="auto" w:fill="auto"/>
            <w:noWrap/>
            <w:tcMar>
              <w:top w:w="0" w:type="dxa"/>
              <w:left w:w="28" w:type="dxa"/>
              <w:bottom w:w="0" w:type="dxa"/>
              <w:right w:w="28" w:type="dxa"/>
            </w:tcMar>
            <w:vAlign w:val="center"/>
          </w:tcPr>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資金來源</w:t>
            </w:r>
          </w:p>
          <w:p w:rsidR="0015433E" w:rsidRPr="00F97342" w:rsidRDefault="0015433E">
            <w:pPr>
              <w:widowControl/>
              <w:rPr>
                <w:rFonts w:ascii="標楷體" w:eastAsia="標楷體" w:hAnsi="標楷體"/>
              </w:rPr>
            </w:pPr>
          </w:p>
          <w:p w:rsidR="0015433E" w:rsidRPr="00F97342" w:rsidRDefault="0014494F">
            <w:pPr>
              <w:widowControl/>
              <w:jc w:val="center"/>
            </w:pPr>
            <w:r w:rsidRPr="00F97342">
              <w:rPr>
                <w:noProof/>
              </w:rPr>
              <w:drawing>
                <wp:inline distT="0" distB="0" distL="0" distR="0">
                  <wp:extent cx="5940427" cy="1950716"/>
                  <wp:effectExtent l="0" t="0" r="3175" b="0"/>
                  <wp:docPr id="2"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2974972</wp:posOffset>
                      </wp:positionV>
                      <wp:extent cx="152403" cy="258446"/>
                      <wp:effectExtent l="38100" t="0" r="19047" b="65404"/>
                      <wp:wrapNone/>
                      <wp:docPr id="3" name="直線單箭頭接點 1"/>
                      <wp:cNvGraphicFramePr/>
                      <a:graphic xmlns:a="http://schemas.openxmlformats.org/drawingml/2006/main">
                        <a:graphicData uri="http://schemas.microsoft.com/office/word/2010/wordprocessingShape">
                          <wps:wsp>
                            <wps:cNvCnPr/>
                            <wps:spPr>
                              <a:xfrm flipH="1">
                                <a:off x="0" y="0"/>
                                <a:ext cx="152403" cy="25844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A0B6FF"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" strokeweight=".17625mm">
                      <v:stroke endarrow="open" joinstyle="miter"/>
                    </v:shape>
                  </w:pict>
                </mc:Fallback>
              </mc:AlternateContent>
            </w: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34"/>
        </w:trPr>
        <w:tc>
          <w:tcPr>
            <w:tcW w:w="120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482"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834"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2316"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ind w:firstLine="360"/>
              <w:rPr>
                <w:rFonts w:ascii="標楷體" w:eastAsia="標楷體" w:hAnsi="標楷體" w:cs="新細明體"/>
                <w:color w:val="000000"/>
                <w:kern w:val="0"/>
              </w:rPr>
            </w:pPr>
            <w:r w:rsidRPr="00F97342">
              <w:rPr>
                <w:rFonts w:ascii="標楷體" w:eastAsia="標楷體" w:hAnsi="標楷體" w:cs="新細明體"/>
                <w:color w:val="000000"/>
                <w:kern w:val="0"/>
              </w:rPr>
              <w:t>單位:新臺幣千元</w:t>
            </w:r>
          </w:p>
        </w:tc>
        <w:tc>
          <w:tcPr>
            <w:tcW w:w="230"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r>
      <w:tr w:rsidR="0015433E" w:rsidRPr="00F97342">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建 設 改 良 擴 充</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271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資  金  來  源</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230"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不動產、廠房及設備</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b/>
                <w:color w:val="000000"/>
              </w:rPr>
            </w:pPr>
            <w:r w:rsidRPr="00F97342">
              <w:rPr>
                <w:rFonts w:ascii="標楷體" w:eastAsia="標楷體" w:hAnsi="標楷體"/>
                <w:b/>
                <w:color w:val="000000"/>
              </w:rPr>
              <w:t>78,901</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營運資金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42,770</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土地改良物</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26,510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國庫撥款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36,131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房屋及建築</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olor w:val="000000"/>
              </w:rPr>
            </w:pPr>
            <w:r w:rsidRPr="00F97342">
              <w:rPr>
                <w:rFonts w:ascii="標楷體" w:eastAsia="標楷體" w:hAnsi="標楷體"/>
                <w:color w:val="000000"/>
              </w:rPr>
              <w:t>20,889</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機械及設備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12,120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交通及運輸設備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1,164</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什項設備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18,218</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30"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r>
      <w:tr w:rsidR="0015433E" w:rsidRPr="00F97342">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b/>
                <w:color w:val="000000"/>
              </w:rPr>
            </w:pPr>
            <w:r w:rsidRPr="00F97342">
              <w:rPr>
                <w:rFonts w:ascii="標楷體" w:eastAsia="標楷體" w:hAnsi="標楷體"/>
                <w:b/>
                <w:color w:val="000000"/>
              </w:rPr>
              <w:t>78,901</w:t>
            </w:r>
          </w:p>
        </w:tc>
        <w:tc>
          <w:tcPr>
            <w:tcW w:w="27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b/>
                <w:color w:val="000000"/>
              </w:rPr>
            </w:pPr>
            <w:r w:rsidRPr="00F97342">
              <w:rPr>
                <w:rFonts w:ascii="標楷體" w:eastAsia="標楷體" w:hAnsi="標楷體"/>
                <w:b/>
                <w:color w:val="000000"/>
              </w:rPr>
              <w:t>78,901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r>
    </w:tbl>
    <w:p w:rsidR="00167E59" w:rsidRPr="00F97342" w:rsidRDefault="00167E59">
      <w:pPr>
        <w:spacing w:before="100" w:after="100" w:line="0" w:lineRule="atLeast"/>
        <w:ind w:left="799" w:hanging="561"/>
        <w:rPr>
          <w:rFonts w:ascii="標楷體" w:eastAsia="標楷體" w:hAnsi="標楷體"/>
          <w:b/>
          <w:sz w:val="28"/>
          <w:szCs w:val="28"/>
        </w:rPr>
      </w:pPr>
    </w:p>
    <w:p w:rsidR="0015433E" w:rsidRPr="00F97342" w:rsidRDefault="00167E59" w:rsidP="00587A5A">
      <w:pPr>
        <w:widowControl/>
        <w:suppressAutoHyphens w:val="0"/>
        <w:spacing w:line="400" w:lineRule="exact"/>
        <w:rPr>
          <w:rFonts w:ascii="標楷體" w:eastAsia="標楷體" w:hAnsi="標楷體"/>
          <w:b/>
          <w:sz w:val="28"/>
          <w:szCs w:val="28"/>
        </w:rPr>
      </w:pPr>
      <w:r w:rsidRPr="00F97342">
        <w:rPr>
          <w:rFonts w:ascii="標楷體" w:eastAsia="標楷體" w:hAnsi="標楷體"/>
          <w:b/>
          <w:sz w:val="28"/>
          <w:szCs w:val="28"/>
        </w:rPr>
        <w:br w:type="page"/>
      </w:r>
      <w:r w:rsidR="0014494F" w:rsidRPr="00F97342">
        <w:rPr>
          <w:rFonts w:ascii="標楷體" w:eastAsia="標楷體" w:hAnsi="標楷體"/>
          <w:b/>
          <w:sz w:val="28"/>
          <w:szCs w:val="28"/>
        </w:rPr>
        <w:lastRenderedPageBreak/>
        <w:t>肆、預算概要：</w:t>
      </w:r>
    </w:p>
    <w:p w:rsidR="0015433E" w:rsidRPr="00F97342" w:rsidRDefault="0014494F">
      <w:pPr>
        <w:spacing w:before="90" w:line="0" w:lineRule="atLeast"/>
        <w:ind w:left="800" w:hanging="560"/>
      </w:pPr>
      <w:r w:rsidRPr="00F97342">
        <w:rPr>
          <w:rFonts w:ascii="標楷體" w:eastAsia="標楷體" w:hAnsi="標楷體"/>
          <w:sz w:val="28"/>
          <w:szCs w:val="28"/>
        </w:rPr>
        <w:t>一、業務收支及餘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之預計</w:t>
      </w:r>
      <w:r w:rsidRPr="00F97342">
        <w:rPr>
          <w:rFonts w:ascii="標楷體" w:eastAsia="標楷體" w:hAnsi="標楷體"/>
          <w:b/>
          <w:color w:val="000000"/>
          <w:sz w:val="28"/>
        </w:rPr>
        <w:t>：</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)業務收入6億1,</w:t>
      </w:r>
      <w:r w:rsidR="00AF1F44">
        <w:rPr>
          <w:rFonts w:ascii="標楷體" w:eastAsia="標楷體" w:hAnsi="標楷體" w:hint="eastAsia"/>
          <w:sz w:val="28"/>
          <w:szCs w:val="28"/>
        </w:rPr>
        <w:t>869</w:t>
      </w:r>
      <w:r w:rsidRPr="00F97342">
        <w:rPr>
          <w:rFonts w:ascii="標楷體" w:eastAsia="標楷體" w:hAnsi="標楷體"/>
          <w:sz w:val="28"/>
          <w:szCs w:val="28"/>
        </w:rPr>
        <w:t>萬元，</w:t>
      </w:r>
      <w:proofErr w:type="gramStart"/>
      <w:r w:rsidRPr="00F97342">
        <w:rPr>
          <w:rFonts w:ascii="標楷體" w:eastAsia="標楷體" w:hAnsi="標楷體"/>
          <w:sz w:val="28"/>
          <w:szCs w:val="28"/>
        </w:rPr>
        <w:t>主要係學雜費</w:t>
      </w:r>
      <w:proofErr w:type="gramEnd"/>
      <w:r w:rsidRPr="00F97342">
        <w:rPr>
          <w:rFonts w:ascii="標楷體" w:eastAsia="標楷體" w:hAnsi="標楷體"/>
          <w:sz w:val="28"/>
          <w:szCs w:val="28"/>
        </w:rPr>
        <w:t>收入、建教合作收入、推廣教育收入、權利金收入、學校教學研究補助收入、其他補助收入及雜項業務收入，較上年度預算數5億8,</w:t>
      </w:r>
      <w:r w:rsidR="00E87239">
        <w:rPr>
          <w:rFonts w:ascii="標楷體" w:eastAsia="標楷體" w:hAnsi="標楷體" w:hint="eastAsia"/>
          <w:sz w:val="28"/>
          <w:szCs w:val="28"/>
        </w:rPr>
        <w:t>1</w:t>
      </w:r>
      <w:r w:rsidRPr="00F97342">
        <w:rPr>
          <w:rFonts w:ascii="標楷體" w:eastAsia="標楷體" w:hAnsi="標楷體"/>
          <w:sz w:val="28"/>
          <w:szCs w:val="28"/>
        </w:rPr>
        <w:t>35萬6千元，增加3,</w:t>
      </w:r>
      <w:r w:rsidR="00E87239">
        <w:rPr>
          <w:rFonts w:ascii="標楷體" w:eastAsia="標楷體" w:hAnsi="標楷體" w:hint="eastAsia"/>
          <w:sz w:val="28"/>
          <w:szCs w:val="28"/>
        </w:rPr>
        <w:t>7</w:t>
      </w:r>
      <w:r w:rsidR="00AF1F44">
        <w:rPr>
          <w:rFonts w:ascii="標楷體" w:eastAsia="標楷體" w:hAnsi="標楷體" w:hint="eastAsia"/>
          <w:sz w:val="28"/>
          <w:szCs w:val="28"/>
        </w:rPr>
        <w:t>33</w:t>
      </w:r>
      <w:r w:rsidRPr="00F97342">
        <w:rPr>
          <w:rFonts w:ascii="標楷體" w:eastAsia="標楷體" w:hAnsi="標楷體"/>
          <w:sz w:val="28"/>
          <w:szCs w:val="28"/>
        </w:rPr>
        <w:t>萬</w:t>
      </w:r>
      <w:r w:rsidR="00AF1F44">
        <w:rPr>
          <w:rFonts w:ascii="標楷體" w:eastAsia="標楷體" w:hAnsi="標楷體" w:hint="eastAsia"/>
          <w:sz w:val="28"/>
          <w:szCs w:val="28"/>
        </w:rPr>
        <w:t>4</w:t>
      </w:r>
      <w:r w:rsidRPr="00F97342">
        <w:rPr>
          <w:rFonts w:ascii="標楷體" w:eastAsia="標楷體" w:hAnsi="標楷體"/>
          <w:sz w:val="28"/>
          <w:szCs w:val="28"/>
        </w:rPr>
        <w:t>千元，約</w:t>
      </w:r>
      <w:r w:rsidR="00AF1F44">
        <w:rPr>
          <w:rFonts w:ascii="標楷體" w:eastAsia="標楷體" w:hAnsi="標楷體" w:hint="eastAsia"/>
          <w:sz w:val="28"/>
          <w:szCs w:val="28"/>
        </w:rPr>
        <w:t>6</w:t>
      </w:r>
      <w:r w:rsidRPr="00F97342">
        <w:rPr>
          <w:rFonts w:ascii="標楷體" w:eastAsia="標楷體" w:hAnsi="標楷體"/>
          <w:sz w:val="28"/>
          <w:szCs w:val="28"/>
        </w:rPr>
        <w:t>.</w:t>
      </w:r>
      <w:r w:rsidR="00E87239">
        <w:rPr>
          <w:rFonts w:ascii="標楷體" w:eastAsia="標楷體" w:hAnsi="標楷體" w:hint="eastAsia"/>
          <w:sz w:val="28"/>
          <w:szCs w:val="28"/>
        </w:rPr>
        <w:t>42</w:t>
      </w:r>
      <w:r w:rsidRPr="00F97342">
        <w:rPr>
          <w:rFonts w:ascii="標楷體" w:eastAsia="標楷體" w:hAnsi="標楷體"/>
          <w:sz w:val="28"/>
          <w:szCs w:val="28"/>
        </w:rPr>
        <w:t>%，主要係建教合作收入增加所致。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(二)業務成本與費用6億</w:t>
      </w:r>
      <w:r w:rsidR="00AF1F44">
        <w:rPr>
          <w:rFonts w:ascii="標楷體" w:eastAsia="標楷體" w:hAnsi="標楷體" w:hint="eastAsia"/>
          <w:sz w:val="28"/>
          <w:szCs w:val="28"/>
        </w:rPr>
        <w:t>6</w:t>
      </w:r>
      <w:r w:rsidRPr="00F97342">
        <w:rPr>
          <w:rFonts w:ascii="標楷體" w:eastAsia="標楷體" w:hAnsi="標楷體"/>
          <w:sz w:val="28"/>
          <w:szCs w:val="28"/>
        </w:rPr>
        <w:t>,</w:t>
      </w:r>
      <w:r w:rsidR="00AF1F44">
        <w:rPr>
          <w:rFonts w:ascii="標楷體" w:eastAsia="標楷體" w:hAnsi="標楷體" w:hint="eastAsia"/>
          <w:sz w:val="28"/>
          <w:szCs w:val="28"/>
        </w:rPr>
        <w:t>420</w:t>
      </w:r>
      <w:r w:rsidRPr="00F97342">
        <w:rPr>
          <w:rFonts w:ascii="標楷體" w:eastAsia="標楷體" w:hAnsi="標楷體"/>
          <w:sz w:val="28"/>
          <w:szCs w:val="28"/>
        </w:rPr>
        <w:t>萬</w:t>
      </w:r>
      <w:r w:rsidR="00AF1F44">
        <w:rPr>
          <w:rFonts w:ascii="標楷體" w:eastAsia="標楷體" w:hAnsi="標楷體" w:hint="eastAsia"/>
          <w:sz w:val="28"/>
          <w:szCs w:val="28"/>
        </w:rPr>
        <w:t>1</w:t>
      </w:r>
      <w:r w:rsidRPr="00F97342">
        <w:rPr>
          <w:rFonts w:ascii="標楷體" w:eastAsia="標楷體" w:hAnsi="標楷體"/>
          <w:sz w:val="28"/>
          <w:szCs w:val="28"/>
        </w:rPr>
        <w:t>千元，主要係教學成本、學生公費及獎勵金、管理及總務費用與雜項業務費用，較上年度預算數6億3,2</w:t>
      </w:r>
      <w:r w:rsidR="00E87239">
        <w:rPr>
          <w:rFonts w:ascii="標楷體" w:eastAsia="標楷體" w:hAnsi="標楷體" w:hint="eastAsia"/>
          <w:sz w:val="28"/>
          <w:szCs w:val="28"/>
        </w:rPr>
        <w:t>05</w:t>
      </w:r>
      <w:r w:rsidRPr="00F97342">
        <w:rPr>
          <w:rFonts w:ascii="標楷體" w:eastAsia="標楷體" w:hAnsi="標楷體"/>
          <w:sz w:val="28"/>
          <w:szCs w:val="28"/>
        </w:rPr>
        <w:t>萬</w:t>
      </w:r>
      <w:r w:rsidR="00E87239">
        <w:rPr>
          <w:rFonts w:ascii="標楷體" w:eastAsia="標楷體" w:hAnsi="標楷體" w:hint="eastAsia"/>
          <w:sz w:val="28"/>
          <w:szCs w:val="28"/>
        </w:rPr>
        <w:t>5</w:t>
      </w:r>
      <w:r w:rsidRPr="00F97342">
        <w:rPr>
          <w:rFonts w:ascii="標楷體" w:eastAsia="標楷體" w:hAnsi="標楷體"/>
          <w:sz w:val="28"/>
          <w:szCs w:val="28"/>
        </w:rPr>
        <w:t>千元，增加</w:t>
      </w:r>
      <w:r w:rsidR="00AF1F44">
        <w:rPr>
          <w:rFonts w:ascii="標楷體" w:eastAsia="標楷體" w:hAnsi="標楷體" w:hint="eastAsia"/>
          <w:sz w:val="28"/>
          <w:szCs w:val="28"/>
        </w:rPr>
        <w:t>3</w:t>
      </w:r>
      <w:r w:rsidRPr="00F97342">
        <w:rPr>
          <w:rFonts w:ascii="標楷體" w:eastAsia="標楷體" w:hAnsi="標楷體"/>
          <w:sz w:val="28"/>
          <w:szCs w:val="28"/>
        </w:rPr>
        <w:t>,</w:t>
      </w:r>
      <w:r w:rsidR="00E87239">
        <w:rPr>
          <w:rFonts w:ascii="標楷體" w:eastAsia="標楷體" w:hAnsi="標楷體" w:hint="eastAsia"/>
          <w:sz w:val="28"/>
          <w:szCs w:val="28"/>
        </w:rPr>
        <w:t>214</w:t>
      </w:r>
      <w:r w:rsidRPr="00F97342">
        <w:rPr>
          <w:rFonts w:ascii="標楷體" w:eastAsia="標楷體" w:hAnsi="標楷體"/>
          <w:sz w:val="28"/>
          <w:szCs w:val="28"/>
        </w:rPr>
        <w:t>萬</w:t>
      </w:r>
      <w:r w:rsidR="00E87239">
        <w:rPr>
          <w:rFonts w:ascii="標楷體" w:eastAsia="標楷體" w:hAnsi="標楷體" w:hint="eastAsia"/>
          <w:sz w:val="28"/>
          <w:szCs w:val="28"/>
        </w:rPr>
        <w:t>6</w:t>
      </w:r>
      <w:r w:rsidRPr="00F97342">
        <w:rPr>
          <w:rFonts w:ascii="標楷體" w:eastAsia="標楷體" w:hAnsi="標楷體"/>
          <w:sz w:val="28"/>
          <w:szCs w:val="28"/>
        </w:rPr>
        <w:t>千元，約</w:t>
      </w:r>
      <w:r w:rsidR="00E87239">
        <w:rPr>
          <w:rFonts w:ascii="標楷體" w:eastAsia="標楷體" w:hAnsi="標楷體" w:hint="eastAsia"/>
          <w:sz w:val="28"/>
          <w:szCs w:val="28"/>
        </w:rPr>
        <w:t>5</w:t>
      </w:r>
      <w:r w:rsidRPr="00F97342">
        <w:rPr>
          <w:rFonts w:ascii="標楷體" w:eastAsia="標楷體" w:hAnsi="標楷體"/>
          <w:sz w:val="28"/>
          <w:szCs w:val="28"/>
        </w:rPr>
        <w:t>.</w:t>
      </w:r>
      <w:r w:rsidR="00E87239">
        <w:rPr>
          <w:rFonts w:ascii="標楷體" w:eastAsia="標楷體" w:hAnsi="標楷體" w:hint="eastAsia"/>
          <w:sz w:val="28"/>
          <w:szCs w:val="28"/>
        </w:rPr>
        <w:t>0</w:t>
      </w:r>
      <w:r w:rsidR="00AF1F44">
        <w:rPr>
          <w:rFonts w:ascii="標楷體" w:eastAsia="標楷體" w:hAnsi="標楷體" w:hint="eastAsia"/>
          <w:sz w:val="28"/>
          <w:szCs w:val="28"/>
        </w:rPr>
        <w:t>9</w:t>
      </w:r>
      <w:r w:rsidRPr="00F97342">
        <w:rPr>
          <w:rFonts w:ascii="標楷體" w:eastAsia="標楷體" w:hAnsi="標楷體"/>
          <w:sz w:val="28"/>
          <w:szCs w:val="28"/>
        </w:rPr>
        <w:t>%，主要係配合建教合作收入增加，執行計畫之建教合作成本隨同增加所致。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(三)業務外收入8,719萬1千元，主要係利息收入、資產使用及權利金收入及受贈收入等，較上年度預算數9,990萬1千元，減少1,271萬元，約12.72%，主要係受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w:t>
      </w:r>
      <w:proofErr w:type="gramStart"/>
      <w:r w:rsidRPr="00F97342">
        <w:rPr>
          <w:rFonts w:ascii="標楷體" w:eastAsia="標楷體" w:hAnsi="標楷體"/>
          <w:sz w:val="28"/>
          <w:szCs w:val="28"/>
        </w:rPr>
        <w:t>影響致場</w:t>
      </w:r>
      <w:proofErr w:type="gramEnd"/>
      <w:r w:rsidRPr="00F97342">
        <w:rPr>
          <w:rFonts w:ascii="標楷體" w:eastAsia="標楷體" w:hAnsi="標楷體"/>
          <w:sz w:val="28"/>
          <w:szCs w:val="28"/>
        </w:rPr>
        <w:t>館營運收入減少所致。</w:t>
      </w:r>
    </w:p>
    <w:p w:rsidR="0015433E" w:rsidRPr="00C0288B" w:rsidRDefault="0014494F">
      <w:pPr>
        <w:overflowPunct w:val="0"/>
        <w:spacing w:before="90" w:line="0" w:lineRule="atLeast"/>
        <w:ind w:left="1157" w:hanging="556"/>
        <w:jc w:val="both"/>
        <w:rPr>
          <w:rFonts w:ascii="標楷體" w:eastAsia="標楷體" w:hAnsi="標楷體"/>
          <w:color w:val="000000"/>
          <w:sz w:val="28"/>
        </w:rPr>
      </w:pPr>
      <w:r w:rsidRPr="00F97342">
        <w:rPr>
          <w:rFonts w:ascii="標楷體" w:eastAsia="標楷體" w:hAnsi="標楷體"/>
          <w:sz w:val="28"/>
          <w:szCs w:val="28"/>
        </w:rPr>
        <w:t>(四)業務外費用7,058萬1千元，</w:t>
      </w:r>
      <w:r w:rsidR="00167E59" w:rsidRPr="00F97342">
        <w:rPr>
          <w:rFonts w:ascii="標楷體" w:eastAsia="標楷體" w:hAnsi="標楷體"/>
          <w:sz w:val="28"/>
          <w:szCs w:val="28"/>
        </w:rPr>
        <w:t>主要</w:t>
      </w:r>
      <w:r w:rsidR="00167E59" w:rsidRPr="00F97342">
        <w:rPr>
          <w:rFonts w:ascii="標楷體" w:eastAsia="標楷體" w:hAnsi="標楷體" w:hint="eastAsia"/>
          <w:sz w:val="28"/>
          <w:szCs w:val="28"/>
        </w:rPr>
        <w:t>係雜項費用，</w:t>
      </w:r>
      <w:r w:rsidRPr="00F97342">
        <w:rPr>
          <w:rFonts w:ascii="標楷體" w:eastAsia="標楷體" w:hAnsi="標楷體"/>
          <w:sz w:val="28"/>
          <w:szCs w:val="28"/>
        </w:rPr>
        <w:t>較上年度預算數7,888萬元，減少829萬9千元，約10.52%，</w:t>
      </w:r>
      <w:proofErr w:type="gramStart"/>
      <w:r w:rsidRPr="00C0288B">
        <w:rPr>
          <w:rFonts w:ascii="標楷體" w:eastAsia="標楷體" w:hAnsi="標楷體"/>
          <w:color w:val="000000"/>
          <w:sz w:val="28"/>
        </w:rPr>
        <w:t>主要係場館</w:t>
      </w:r>
      <w:proofErr w:type="gramEnd"/>
      <w:r w:rsidRPr="00C0288B">
        <w:rPr>
          <w:rFonts w:ascii="標楷體" w:eastAsia="標楷體" w:hAnsi="標楷體"/>
          <w:color w:val="000000"/>
          <w:sz w:val="28"/>
        </w:rPr>
        <w:t>營運成本依實際業務需要減少所致。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(五)業務總收支相抵後，發生短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數2,890萬1千元，較上年度預算短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E87239">
        <w:rPr>
          <w:rFonts w:ascii="標楷體" w:eastAsia="標楷體" w:hAnsi="標楷體" w:hint="eastAsia"/>
          <w:sz w:val="28"/>
          <w:szCs w:val="28"/>
        </w:rPr>
        <w:t>2</w:t>
      </w:r>
      <w:r w:rsidRPr="00F97342">
        <w:rPr>
          <w:rFonts w:ascii="標楷體" w:eastAsia="標楷體" w:hAnsi="標楷體"/>
          <w:sz w:val="28"/>
          <w:szCs w:val="28"/>
        </w:rPr>
        <w:t>,</w:t>
      </w:r>
      <w:r w:rsidR="00E87239">
        <w:rPr>
          <w:rFonts w:ascii="標楷體" w:eastAsia="標楷體" w:hAnsi="標楷體" w:hint="eastAsia"/>
          <w:sz w:val="28"/>
          <w:szCs w:val="28"/>
        </w:rPr>
        <w:t>967</w:t>
      </w:r>
      <w:r w:rsidRPr="00F97342">
        <w:rPr>
          <w:rFonts w:ascii="標楷體" w:eastAsia="標楷體" w:hAnsi="標楷體"/>
          <w:sz w:val="28"/>
          <w:szCs w:val="28"/>
        </w:rPr>
        <w:t>萬</w:t>
      </w:r>
      <w:r w:rsidR="00E87239">
        <w:rPr>
          <w:rFonts w:ascii="標楷體" w:eastAsia="標楷體" w:hAnsi="標楷體" w:hint="eastAsia"/>
          <w:sz w:val="28"/>
          <w:szCs w:val="28"/>
        </w:rPr>
        <w:t>8</w:t>
      </w:r>
      <w:r w:rsidRPr="00F97342">
        <w:rPr>
          <w:rFonts w:ascii="標楷體" w:eastAsia="標楷體" w:hAnsi="標楷體"/>
          <w:sz w:val="28"/>
          <w:szCs w:val="28"/>
        </w:rPr>
        <w:t>千元，減少</w:t>
      </w:r>
      <w:r w:rsidR="00E87239">
        <w:rPr>
          <w:rFonts w:ascii="標楷體" w:eastAsia="標楷體" w:hAnsi="標楷體" w:hint="eastAsia"/>
          <w:sz w:val="28"/>
          <w:szCs w:val="28"/>
        </w:rPr>
        <w:t>77</w:t>
      </w:r>
      <w:r w:rsidRPr="00F97342">
        <w:rPr>
          <w:rFonts w:ascii="標楷體" w:eastAsia="標楷體" w:hAnsi="標楷體"/>
          <w:sz w:val="28"/>
          <w:szCs w:val="28"/>
        </w:rPr>
        <w:t>萬</w:t>
      </w:r>
      <w:r w:rsidR="00E87239">
        <w:rPr>
          <w:rFonts w:ascii="標楷體" w:eastAsia="標楷體" w:hAnsi="標楷體" w:hint="eastAsia"/>
          <w:sz w:val="28"/>
          <w:szCs w:val="28"/>
        </w:rPr>
        <w:t>7</w:t>
      </w:r>
      <w:r w:rsidRPr="00F97342">
        <w:rPr>
          <w:rFonts w:ascii="標楷體" w:eastAsia="標楷體" w:hAnsi="標楷體"/>
          <w:sz w:val="28"/>
          <w:szCs w:val="28"/>
        </w:rPr>
        <w:t>千元，約</w:t>
      </w:r>
      <w:r w:rsidR="00E87239">
        <w:rPr>
          <w:rFonts w:ascii="標楷體" w:eastAsia="標楷體" w:hAnsi="標楷體" w:hint="eastAsia"/>
          <w:sz w:val="28"/>
          <w:szCs w:val="28"/>
        </w:rPr>
        <w:t>2</w:t>
      </w:r>
      <w:r w:rsidRPr="00F97342">
        <w:rPr>
          <w:rFonts w:ascii="標楷體" w:eastAsia="標楷體" w:hAnsi="標楷體"/>
          <w:sz w:val="28"/>
          <w:szCs w:val="28"/>
        </w:rPr>
        <w:t>.</w:t>
      </w:r>
      <w:r w:rsidR="00E87239">
        <w:rPr>
          <w:rFonts w:ascii="標楷體" w:eastAsia="標楷體" w:hAnsi="標楷體" w:hint="eastAsia"/>
          <w:sz w:val="28"/>
          <w:szCs w:val="28"/>
        </w:rPr>
        <w:t>62</w:t>
      </w:r>
      <w:bookmarkStart w:id="0" w:name="_GoBack"/>
      <w:bookmarkEnd w:id="0"/>
      <w:r w:rsidRPr="00F97342">
        <w:rPr>
          <w:rFonts w:ascii="標楷體" w:eastAsia="標楷體" w:hAnsi="標楷體"/>
          <w:sz w:val="28"/>
          <w:szCs w:val="28"/>
        </w:rPr>
        <w:t>%，主要係建教合作收入增加所致。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(六)本年度收入、成本與費用及餘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詳圖2，最近五年收入與費用詳圖3。</w:t>
      </w:r>
    </w:p>
    <w:p w:rsidR="00F63F3E" w:rsidRPr="00F97342" w:rsidRDefault="00F63F3E">
      <w:r w:rsidRPr="00F97342">
        <w:br w:type="page"/>
      </w:r>
    </w:p>
    <w:tbl>
      <w:tblPr>
        <w:tblW w:w="18835" w:type="dxa"/>
        <w:tblInd w:w="-397" w:type="dxa"/>
        <w:tblCellMar>
          <w:left w:w="10" w:type="dxa"/>
          <w:right w:w="10" w:type="dxa"/>
        </w:tblCellMar>
        <w:tblLook w:val="0000" w:firstRow="0" w:lastRow="0" w:firstColumn="0" w:lastColumn="0" w:noHBand="0" w:noVBand="0"/>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15433E" w:rsidRPr="00F97342">
        <w:trPr>
          <w:trHeight w:val="485"/>
        </w:trPr>
        <w:tc>
          <w:tcPr>
            <w:tcW w:w="18835" w:type="dxa"/>
            <w:gridSpan w:val="1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lastRenderedPageBreak/>
              <w:t xml:space="preserve">             </w:t>
            </w:r>
            <w:r w:rsidRPr="00F97342">
              <w:rPr>
                <w:rFonts w:ascii="標楷體" w:eastAsia="標楷體" w:hAnsi="標楷體" w:cs="新細明體"/>
                <w:b/>
                <w:bCs/>
                <w:color w:val="000000"/>
                <w:kern w:val="0"/>
                <w:sz w:val="32"/>
                <w:szCs w:val="32"/>
                <w:u w:val="single"/>
              </w:rPr>
              <w:t xml:space="preserve">圖2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年度收入、成本與費用及餘絀</w:t>
            </w:r>
          </w:p>
        </w:tc>
      </w:tr>
      <w:tr w:rsidR="0015433E" w:rsidRPr="00F97342" w:rsidTr="00BC71E4">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收入及短</w:t>
            </w:r>
            <w:proofErr w:type="gramStart"/>
            <w:r w:rsidRPr="00F97342">
              <w:rPr>
                <w:rFonts w:ascii="標楷體" w:eastAsia="標楷體" w:hAnsi="標楷體"/>
                <w:b/>
                <w:sz w:val="28"/>
                <w:u w:val="single"/>
              </w:rPr>
              <w:t>絀</w:t>
            </w:r>
            <w:proofErr w:type="gramEnd"/>
          </w:p>
          <w:p w:rsidR="0015433E" w:rsidRPr="00F97342" w:rsidRDefault="002F0FED">
            <w:pPr>
              <w:widowControl/>
            </w:pPr>
            <w:r>
              <w:rPr>
                <w:noProof/>
              </w:rPr>
              <w:drawing>
                <wp:inline distT="0" distB="0" distL="0" distR="0" wp14:anchorId="7C5E8633" wp14:editId="514F4E88">
                  <wp:extent cx="5940425" cy="2834005"/>
                  <wp:effectExtent l="0" t="0" r="3175" b="4445"/>
                  <wp:docPr id="24" name="圖表 24">
                    <a:extLst xmlns:a="http://schemas.openxmlformats.org/drawingml/2006/main">
                      <a:ext uri="{FF2B5EF4-FFF2-40B4-BE49-F238E27FC236}">
                        <a16:creationId xmlns:a16="http://schemas.microsoft.com/office/drawing/2014/main" id="{66FB540B-6D02-4813-A8F8-01E564773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433E" w:rsidRPr="00F97342" w:rsidRDefault="0015433E">
            <w:pPr>
              <w:widowControl/>
              <w:jc w:val="center"/>
            </w:pPr>
          </w:p>
          <w:p w:rsidR="0015433E" w:rsidRPr="00F97342" w:rsidRDefault="0015433E">
            <w:pPr>
              <w:widowControl/>
            </w:pPr>
          </w:p>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成本與費用</w:t>
            </w:r>
          </w:p>
          <w:p w:rsidR="0015433E" w:rsidRPr="00F97342" w:rsidRDefault="002F0FED">
            <w:pPr>
              <w:widowControl/>
            </w:pPr>
            <w:r>
              <w:rPr>
                <w:noProof/>
              </w:rPr>
              <w:drawing>
                <wp:inline distT="0" distB="0" distL="0" distR="0" wp14:anchorId="622F94E4" wp14:editId="566FC7C5">
                  <wp:extent cx="5940425" cy="2705100"/>
                  <wp:effectExtent l="0" t="0" r="3175" b="0"/>
                  <wp:docPr id="23" name="圖表 23">
                    <a:extLst xmlns:a="http://schemas.openxmlformats.org/drawingml/2006/main">
                      <a:ext uri="{FF2B5EF4-FFF2-40B4-BE49-F238E27FC236}">
                        <a16:creationId xmlns:a16="http://schemas.microsoft.com/office/drawing/2014/main" id="{22818AF3-0591-4C42-8C80-8FCA460FD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433E" w:rsidRPr="00F97342" w:rsidRDefault="0015433E">
            <w:pPr>
              <w:widowControl/>
              <w:jc w:val="center"/>
            </w:pPr>
          </w:p>
          <w:tbl>
            <w:tblPr>
              <w:tblW w:w="9413" w:type="dxa"/>
              <w:jc w:val="center"/>
              <w:tblCellMar>
                <w:left w:w="10" w:type="dxa"/>
                <w:right w:w="10" w:type="dxa"/>
              </w:tblCellMar>
              <w:tblLook w:val="0000" w:firstRow="0" w:lastRow="0" w:firstColumn="0" w:lastColumn="0" w:noHBand="0" w:noVBand="0"/>
            </w:tblPr>
            <w:tblGrid>
              <w:gridCol w:w="1226"/>
              <w:gridCol w:w="1185"/>
              <w:gridCol w:w="766"/>
              <w:gridCol w:w="1603"/>
              <w:gridCol w:w="1190"/>
              <w:gridCol w:w="1185"/>
              <w:gridCol w:w="699"/>
              <w:gridCol w:w="1559"/>
            </w:tblGrid>
            <w:tr w:rsidR="0015433E" w:rsidRPr="00F97342">
              <w:trPr>
                <w:trHeight w:val="272"/>
                <w:jc w:val="center"/>
              </w:trPr>
              <w:tc>
                <w:tcPr>
                  <w:tcW w:w="122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603"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25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3074"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成本與費用</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widowControl/>
                    <w:suppressAutoHyphens w:val="0"/>
                    <w:jc w:val="right"/>
                    <w:rPr>
                      <w:rFonts w:ascii="標楷體" w:eastAsia="標楷體" w:hAnsi="標楷體"/>
                      <w:color w:val="000000"/>
                      <w:kern w:val="0"/>
                    </w:rPr>
                  </w:pPr>
                  <w:r>
                    <w:rPr>
                      <w:rFonts w:ascii="標楷體" w:eastAsia="標楷體" w:hAnsi="標楷體" w:hint="eastAsia"/>
                      <w:color w:val="000000"/>
                    </w:rPr>
                    <w:t>618,690</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業務成本與費用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widowControl/>
                    <w:suppressAutoHyphens w:val="0"/>
                    <w:jc w:val="right"/>
                    <w:rPr>
                      <w:rFonts w:ascii="標楷體" w:eastAsia="標楷體" w:hAnsi="標楷體"/>
                      <w:color w:val="000000"/>
                      <w:kern w:val="0"/>
                    </w:rPr>
                  </w:pPr>
                  <w:r>
                    <w:rPr>
                      <w:rFonts w:ascii="標楷體" w:eastAsia="標楷體" w:hAnsi="標楷體" w:hint="eastAsia"/>
                      <w:color w:val="000000"/>
                    </w:rPr>
                    <w:t>664,201</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192,227</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511,890</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租金及權利金收入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38</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18,351</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426,425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管理及總務費用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131,792</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87,191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2,168</w:t>
                  </w:r>
                </w:p>
              </w:tc>
            </w:tr>
            <w:tr w:rsidR="00BC71E4"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28,901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70,581</w:t>
                  </w:r>
                </w:p>
              </w:tc>
            </w:tr>
            <w:tr w:rsidR="00BC71E4"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總額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734,782</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71E4" w:rsidRPr="00F97342" w:rsidRDefault="00BC71E4" w:rsidP="00BC71E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成本與費用總額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C71E4" w:rsidRDefault="00BC71E4" w:rsidP="00BC71E4">
                  <w:pPr>
                    <w:jc w:val="right"/>
                    <w:rPr>
                      <w:rFonts w:ascii="標楷體" w:eastAsia="標楷體" w:hAnsi="標楷體"/>
                      <w:color w:val="000000"/>
                    </w:rPr>
                  </w:pPr>
                  <w:r>
                    <w:rPr>
                      <w:rFonts w:ascii="標楷體" w:eastAsia="標楷體" w:hAnsi="標楷體" w:hint="eastAsia"/>
                      <w:color w:val="000000"/>
                    </w:rPr>
                    <w:t>734,782</w:t>
                  </w:r>
                </w:p>
              </w:tc>
            </w:tr>
          </w:tbl>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tcPr>
          <w:p w:rsidR="0015433E" w:rsidRPr="00F97342" w:rsidRDefault="0014494F">
            <w:pPr>
              <w:widowControl/>
              <w:ind w:firstLine="3120"/>
            </w:pPr>
            <w:r w:rsidRPr="00F97342">
              <w:rPr>
                <w:rFonts w:ascii="標楷體" w:eastAsia="標楷體" w:hAnsi="標楷體" w:cs="新細明體"/>
                <w:b/>
                <w:bCs/>
                <w:color w:val="000000"/>
                <w:kern w:val="0"/>
                <w:sz w:val="32"/>
                <w:szCs w:val="32"/>
                <w:u w:val="single"/>
              </w:rPr>
              <w:lastRenderedPageBreak/>
              <w:t>圖3  最近五年收入與費用</w:t>
            </w:r>
          </w:p>
        </w:tc>
        <w:tc>
          <w:tcPr>
            <w:tcW w:w="1196" w:type="dxa"/>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546D22">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0B0596">
            <w:pPr>
              <w:widowControl/>
              <w:jc w:val="center"/>
            </w:pPr>
            <w:r w:rsidRPr="00F97342">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5389245</wp:posOffset>
                      </wp:positionH>
                      <wp:positionV relativeFrom="paragraph">
                        <wp:posOffset>4140835</wp:posOffset>
                      </wp:positionV>
                      <wp:extent cx="655320" cy="1043940"/>
                      <wp:effectExtent l="0" t="0" r="0" b="3810"/>
                      <wp:wrapNone/>
                      <wp:docPr id="6" name="文字方塊 16"/>
                      <wp:cNvGraphicFramePr/>
                      <a:graphic xmlns:a="http://schemas.openxmlformats.org/drawingml/2006/main">
                        <a:graphicData uri="http://schemas.microsoft.com/office/word/2010/wordprocessingShape">
                          <wps:wsp>
                            <wps:cNvSpPr txBox="1"/>
                            <wps:spPr>
                              <a:xfrm>
                                <a:off x="0" y="0"/>
                                <a:ext cx="655320" cy="1043940"/>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年度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424.35pt;margin-top:326.05pt;width:51.6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年度</w:t>
                            </w:r>
                          </w:p>
                        </w:txbxContent>
                      </v:textbox>
                    </v:shape>
                  </w:pict>
                </mc:Fallback>
              </mc:AlternateContent>
            </w:r>
            <w:r w:rsidR="006C3BF4" w:rsidRPr="00F97342">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939800</wp:posOffset>
                      </wp:positionH>
                      <wp:positionV relativeFrom="paragraph">
                        <wp:posOffset>-728345</wp:posOffset>
                      </wp:positionV>
                      <wp:extent cx="655320" cy="773430"/>
                      <wp:effectExtent l="0" t="0" r="0" b="7620"/>
                      <wp:wrapNone/>
                      <wp:docPr id="17" name="文字方塊 15"/>
                      <wp:cNvGraphicFramePr/>
                      <a:graphic xmlns:a="http://schemas.openxmlformats.org/drawingml/2006/main">
                        <a:graphicData uri="http://schemas.microsoft.com/office/word/2010/wordprocessingShape">
                          <wps:wsp>
                            <wps:cNvSpPr txBox="1"/>
                            <wps:spPr>
                              <a:xfrm>
                                <a:off x="0" y="0"/>
                                <a:ext cx="655320" cy="773430"/>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文字方塊 15" o:spid="_x0000_s1027" type="#_x0000_t202" style="position:absolute;left:0;text-align:left;margin-left:74pt;margin-top:-57.35pt;width:51.6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546D22">
              <w:rPr>
                <w:noProof/>
              </w:rPr>
              <w:drawing>
                <wp:inline distT="0" distB="0" distL="0" distR="0" wp14:anchorId="708C633C" wp14:editId="1F4BB73B">
                  <wp:extent cx="5940425" cy="5450840"/>
                  <wp:effectExtent l="0" t="0" r="3175" b="0"/>
                  <wp:docPr id="25" name="圖表 25">
                    <a:extLst xmlns:a="http://schemas.openxmlformats.org/drawingml/2006/main">
                      <a:ext uri="{FF2B5EF4-FFF2-40B4-BE49-F238E27FC236}">
                        <a16:creationId xmlns:a16="http://schemas.microsoft.com/office/drawing/2014/main" id="{BBC8F39C-07C3-475D-B047-E1380C8E3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FFC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400"/>
        </w:trPr>
        <w:tc>
          <w:tcPr>
            <w:tcW w:w="166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2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4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16"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48"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1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307"/>
        </w:trPr>
        <w:tc>
          <w:tcPr>
            <w:tcW w:w="198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0" w:type="dxa"/>
              <w:left w:w="28" w:type="dxa"/>
              <w:bottom w:w="0" w:type="dxa"/>
              <w:right w:w="28" w:type="dxa"/>
            </w:tcMar>
          </w:tcPr>
          <w:p w:rsidR="0015433E" w:rsidRPr="00F97342" w:rsidRDefault="0014494F">
            <w:pPr>
              <w:widowControl/>
              <w:ind w:left="240" w:hanging="240"/>
              <w:rPr>
                <w:rFonts w:ascii="標楷體" w:eastAsia="標楷體" w:hAnsi="標楷體" w:cs="新細明體"/>
                <w:color w:val="000000"/>
                <w:kern w:val="0"/>
              </w:rPr>
            </w:pPr>
            <w:r w:rsidRPr="00F97342">
              <w:rPr>
                <w:rFonts w:ascii="標楷體" w:eastAsia="標楷體" w:hAnsi="標楷體" w:cs="新細明體"/>
                <w:color w:val="000000"/>
                <w:kern w:val="0"/>
              </w:rPr>
              <w:t xml:space="preserve">          年度                    項目</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107</w:t>
            </w:r>
            <w:proofErr w:type="gramEnd"/>
            <w:r w:rsidRPr="00F97342">
              <w:rPr>
                <w:rFonts w:ascii="標楷體" w:eastAsia="標楷體" w:hAnsi="標楷體" w:cs="新細明體"/>
                <w:color w:val="000000"/>
                <w:kern w:val="0"/>
              </w:rPr>
              <w:t>年度決算</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108</w:t>
            </w:r>
            <w:proofErr w:type="gramEnd"/>
            <w:r w:rsidRPr="00F97342">
              <w:rPr>
                <w:rFonts w:ascii="標楷體" w:eastAsia="標楷體" w:hAnsi="標楷體" w:cs="新細明體"/>
                <w:color w:val="000000"/>
                <w:kern w:val="0"/>
              </w:rPr>
              <w:t>年度決算</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109</w:t>
            </w:r>
            <w:proofErr w:type="gramEnd"/>
            <w:r w:rsidRPr="00F97342">
              <w:rPr>
                <w:rFonts w:ascii="標楷體" w:eastAsia="標楷體" w:hAnsi="標楷體" w:cs="新細明體"/>
                <w:color w:val="000000"/>
                <w:kern w:val="0"/>
              </w:rPr>
              <w:t>年度決算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110</w:t>
            </w:r>
            <w:proofErr w:type="gramEnd"/>
            <w:r w:rsidRPr="00F97342">
              <w:rPr>
                <w:rFonts w:ascii="標楷體" w:eastAsia="標楷體" w:hAnsi="標楷體" w:cs="新細明體"/>
                <w:color w:val="000000"/>
                <w:kern w:val="0"/>
              </w:rPr>
              <w:t>年度預算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pPr>
            <w:r w:rsidRPr="00F97342">
              <w:rPr>
                <w:rFonts w:ascii="標楷體" w:eastAsia="標楷體" w:hAnsi="標楷體" w:cs="新細明體"/>
                <w:color w:val="000000"/>
                <w:kern w:val="0"/>
              </w:rPr>
              <w:t>582,</w:t>
            </w:r>
            <w:r w:rsidRPr="00C0288B">
              <w:rPr>
                <w:rFonts w:ascii="標楷體" w:eastAsia="標楷體" w:hAnsi="標楷體"/>
                <w:color w:val="000000"/>
              </w:rPr>
              <w:t>359</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606,876</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655,832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widowControl/>
              <w:suppressAutoHyphens w:val="0"/>
              <w:jc w:val="right"/>
              <w:rPr>
                <w:rFonts w:ascii="標楷體" w:eastAsia="標楷體" w:hAnsi="標楷體"/>
                <w:color w:val="000000"/>
                <w:kern w:val="0"/>
              </w:rPr>
            </w:pPr>
            <w:r>
              <w:rPr>
                <w:rFonts w:ascii="標楷體" w:eastAsia="標楷體" w:hAnsi="標楷體" w:hint="eastAsia"/>
                <w:color w:val="000000"/>
              </w:rPr>
              <w:t>581,356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widowControl/>
              <w:suppressAutoHyphens w:val="0"/>
              <w:jc w:val="right"/>
              <w:rPr>
                <w:rFonts w:ascii="標楷體" w:eastAsia="標楷體" w:hAnsi="標楷體"/>
                <w:color w:val="000000"/>
                <w:kern w:val="0"/>
              </w:rPr>
            </w:pPr>
            <w:r>
              <w:rPr>
                <w:rFonts w:ascii="標楷體" w:eastAsia="標楷體" w:hAnsi="標楷體" w:hint="eastAsia"/>
                <w:color w:val="000000"/>
              </w:rPr>
              <w:t>618,690</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191,134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134,642</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68,681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99,901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87,191</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C0288B" w:rsidRDefault="00546D22" w:rsidP="00546D22">
            <w:pPr>
              <w:widowControl/>
              <w:jc w:val="right"/>
              <w:rPr>
                <w:rFonts w:ascii="標楷體" w:eastAsia="標楷體" w:hAnsi="標楷體"/>
                <w:color w:val="000000"/>
              </w:rPr>
            </w:pPr>
            <w:r w:rsidRPr="00C0288B">
              <w:rPr>
                <w:rFonts w:ascii="標楷體" w:eastAsia="標楷體" w:hAnsi="標楷體"/>
                <w:color w:val="000000"/>
              </w:rPr>
              <w:t>773,493</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C0288B" w:rsidRDefault="00546D22" w:rsidP="00546D22">
            <w:pPr>
              <w:widowControl/>
              <w:jc w:val="right"/>
              <w:rPr>
                <w:rFonts w:ascii="標楷體" w:eastAsia="標楷體" w:hAnsi="標楷體"/>
                <w:color w:val="000000"/>
              </w:rPr>
            </w:pPr>
            <w:r w:rsidRPr="00C0288B">
              <w:rPr>
                <w:rFonts w:ascii="標楷體" w:eastAsia="標楷體" w:hAnsi="標楷體"/>
                <w:color w:val="000000"/>
              </w:rPr>
              <w:t>741,518</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724,513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681,257</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705,881</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rPr>
                <w:rFonts w:ascii="標楷體" w:eastAsia="標楷體" w:hAnsi="標楷體" w:cs="新細明體"/>
                <w:color w:val="000000"/>
                <w:kern w:val="0"/>
              </w:rPr>
            </w:pP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rPr>
                <w:rFonts w:ascii="標楷體" w:eastAsia="標楷體" w:hAnsi="標楷體"/>
                <w:color w:val="000000"/>
              </w:rPr>
            </w:pPr>
            <w:r>
              <w:rPr>
                <w:rFonts w:ascii="標楷體" w:eastAsia="標楷體" w:hAnsi="標楷體" w:hint="eastAsia"/>
                <w:color w:val="000000"/>
              </w:rPr>
              <w:t xml:space="preserve">　</w:t>
            </w:r>
          </w:p>
        </w:tc>
        <w:tc>
          <w:tcPr>
            <w:tcW w:w="794"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業務成本與費用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C0288B" w:rsidRDefault="00546D22" w:rsidP="00546D22">
            <w:pPr>
              <w:widowControl/>
              <w:jc w:val="right"/>
              <w:rPr>
                <w:rFonts w:ascii="標楷體" w:eastAsia="標楷體" w:hAnsi="標楷體"/>
                <w:color w:val="000000"/>
              </w:rPr>
            </w:pPr>
            <w:r w:rsidRPr="00C0288B">
              <w:rPr>
                <w:rFonts w:ascii="標楷體" w:eastAsia="標楷體" w:hAnsi="標楷體"/>
                <w:color w:val="000000"/>
              </w:rPr>
              <w:t>622,755</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C0288B" w:rsidRDefault="00546D22" w:rsidP="00546D22">
            <w:pPr>
              <w:widowControl/>
              <w:jc w:val="right"/>
              <w:rPr>
                <w:rFonts w:ascii="標楷體" w:eastAsia="標楷體" w:hAnsi="標楷體"/>
                <w:color w:val="000000"/>
              </w:rPr>
            </w:pPr>
            <w:r w:rsidRPr="00C0288B">
              <w:rPr>
                <w:rFonts w:ascii="標楷體" w:eastAsia="標楷體" w:hAnsi="標楷體"/>
                <w:color w:val="000000"/>
              </w:rPr>
              <w:t>672,22</w:t>
            </w:r>
            <w:r w:rsidRPr="00C0288B">
              <w:rPr>
                <w:rFonts w:ascii="標楷體" w:eastAsia="標楷體" w:hAnsi="標楷體" w:hint="eastAsia"/>
                <w:color w:val="000000"/>
              </w:rPr>
              <w:t>0</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666,526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632,055</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664,201</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88,104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90,651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79,348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78,880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70,581</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pPr>
            <w:r w:rsidRPr="00F97342">
              <w:rPr>
                <w:rFonts w:ascii="標楷體" w:eastAsia="標楷體" w:hAnsi="標楷體" w:cs="新細明體"/>
                <w:color w:val="000000"/>
                <w:kern w:val="0"/>
              </w:rPr>
              <w:t>710,8</w:t>
            </w:r>
            <w:r w:rsidRPr="00C0288B">
              <w:rPr>
                <w:rFonts w:ascii="標楷體" w:eastAsia="標楷體" w:hAnsi="標楷體"/>
                <w:color w:val="000000"/>
              </w:rPr>
              <w:t>59</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pPr>
            <w:r w:rsidRPr="00F97342">
              <w:rPr>
                <w:rFonts w:ascii="標楷體" w:eastAsia="標楷體" w:hAnsi="標楷體" w:cs="新細明體"/>
                <w:color w:val="000000"/>
                <w:kern w:val="0"/>
              </w:rPr>
              <w:t>762,87</w:t>
            </w:r>
            <w:r w:rsidRPr="00F97342">
              <w:rPr>
                <w:rFonts w:ascii="標楷體" w:eastAsia="標楷體" w:hAnsi="標楷體" w:cs="新細明體" w:hint="eastAsia"/>
                <w:color w:val="000000"/>
                <w:kern w:val="0"/>
              </w:rPr>
              <w:t>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745,874</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710,935</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000000"/>
              </w:rPr>
              <w:t>734,782</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000000"/>
                <w:kern w:val="0"/>
              </w:rPr>
            </w:pPr>
          </w:p>
        </w:tc>
      </w:tr>
      <w:tr w:rsidR="00546D22" w:rsidRPr="00F97342">
        <w:trPr>
          <w:trHeight w:val="3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6D22" w:rsidRPr="00F97342" w:rsidRDefault="00546D22" w:rsidP="00546D22">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本期餘</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62,634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pPr>
            <w:r w:rsidRPr="00F97342">
              <w:rPr>
                <w:rFonts w:ascii="標楷體" w:eastAsia="標楷體" w:hAnsi="標楷體" w:cs="新細明體"/>
                <w:color w:val="FF0000"/>
                <w:kern w:val="0"/>
              </w:rPr>
              <w:t>-21,35</w:t>
            </w:r>
            <w:r w:rsidRPr="00F97342">
              <w:rPr>
                <w:rFonts w:ascii="標楷體" w:eastAsia="標楷體" w:hAnsi="標楷體" w:cs="新細明體" w:hint="eastAsia"/>
                <w:color w:val="FF0000"/>
                <w:kern w:val="0"/>
              </w:rPr>
              <w:t>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Pr="00F97342" w:rsidRDefault="00546D22" w:rsidP="00546D22">
            <w:pPr>
              <w:widowControl/>
              <w:jc w:val="right"/>
            </w:pPr>
            <w:r w:rsidRPr="00F97342">
              <w:rPr>
                <w:rFonts w:ascii="標楷體" w:eastAsia="標楷體" w:hAnsi="標楷體" w:cs="新細明體"/>
                <w:color w:val="FF0000"/>
                <w:kern w:val="0"/>
              </w:rPr>
              <w:t>-21,361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FF0000"/>
              </w:rPr>
              <w:t>-29,678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46D22" w:rsidRDefault="00546D22" w:rsidP="00546D22">
            <w:pPr>
              <w:jc w:val="right"/>
              <w:rPr>
                <w:rFonts w:ascii="標楷體" w:eastAsia="標楷體" w:hAnsi="標楷體"/>
                <w:color w:val="000000"/>
              </w:rPr>
            </w:pPr>
            <w:r>
              <w:rPr>
                <w:rFonts w:ascii="標楷體" w:eastAsia="標楷體" w:hAnsi="標楷體" w:hint="eastAsia"/>
                <w:color w:val="FF0000"/>
              </w:rPr>
              <w:t>-28,901</w:t>
            </w:r>
          </w:p>
        </w:tc>
        <w:tc>
          <w:tcPr>
            <w:tcW w:w="79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968"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42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c>
          <w:tcPr>
            <w:tcW w:w="1084" w:type="dxa"/>
            <w:shd w:val="clear" w:color="auto" w:fill="auto"/>
            <w:tcMar>
              <w:top w:w="0" w:type="dxa"/>
              <w:left w:w="10" w:type="dxa"/>
              <w:bottom w:w="0" w:type="dxa"/>
              <w:right w:w="10" w:type="dxa"/>
            </w:tcMar>
          </w:tcPr>
          <w:p w:rsidR="00546D22" w:rsidRPr="00F97342" w:rsidRDefault="00546D22" w:rsidP="00546D22">
            <w:pPr>
              <w:widowControl/>
              <w:jc w:val="right"/>
              <w:rPr>
                <w:rFonts w:ascii="標楷體" w:eastAsia="標楷體" w:hAnsi="標楷體" w:cs="新細明體"/>
                <w:color w:val="FF0000"/>
                <w:kern w:val="0"/>
              </w:rPr>
            </w:pPr>
          </w:p>
        </w:tc>
      </w:tr>
    </w:tbl>
    <w:p w:rsidR="0015433E" w:rsidRPr="00F97342" w:rsidRDefault="0014494F">
      <w:pPr>
        <w:spacing w:line="400" w:lineRule="exact"/>
      </w:pPr>
      <w:r w:rsidRPr="00F97342">
        <w:rPr>
          <w:rFonts w:ascii="標楷體" w:eastAsia="標楷體" w:hAnsi="標楷體"/>
          <w:sz w:val="28"/>
          <w:szCs w:val="28"/>
        </w:rPr>
        <w:t>備註：107至109年度決算數為審定決算數；</w:t>
      </w:r>
      <w:proofErr w:type="gramStart"/>
      <w:r w:rsidRPr="00F97342">
        <w:rPr>
          <w:rFonts w:ascii="標楷體" w:eastAsia="標楷體" w:hAnsi="標楷體"/>
          <w:sz w:val="28"/>
          <w:szCs w:val="28"/>
        </w:rPr>
        <w:t>110</w:t>
      </w:r>
      <w:proofErr w:type="gramEnd"/>
      <w:r w:rsidRPr="00F97342">
        <w:rPr>
          <w:rFonts w:ascii="標楷體" w:eastAsia="標楷體" w:hAnsi="標楷體"/>
          <w:sz w:val="28"/>
          <w:szCs w:val="28"/>
        </w:rPr>
        <w:t>年度為</w:t>
      </w:r>
      <w:r w:rsidR="00546D22">
        <w:rPr>
          <w:rFonts w:ascii="標楷體" w:eastAsia="標楷體" w:hAnsi="標楷體" w:hint="eastAsia"/>
          <w:sz w:val="28"/>
          <w:szCs w:val="28"/>
        </w:rPr>
        <w:t>法定</w:t>
      </w:r>
      <w:r w:rsidRPr="00F97342">
        <w:rPr>
          <w:rFonts w:ascii="標楷體" w:eastAsia="標楷體" w:hAnsi="標楷體"/>
          <w:sz w:val="28"/>
          <w:szCs w:val="28"/>
        </w:rPr>
        <w:t>預算數。</w:t>
      </w:r>
    </w:p>
    <w:p w:rsidR="0015433E" w:rsidRPr="00F97342" w:rsidRDefault="0014494F">
      <w:pPr>
        <w:pageBreakBefore/>
        <w:spacing w:before="90" w:line="0" w:lineRule="atLeast"/>
        <w:ind w:left="800" w:hanging="560"/>
      </w:pPr>
      <w:r w:rsidRPr="00F97342">
        <w:rPr>
          <w:rFonts w:ascii="標楷體" w:eastAsia="標楷體" w:hAnsi="標楷體"/>
          <w:sz w:val="28"/>
          <w:szCs w:val="28"/>
        </w:rPr>
        <w:lastRenderedPageBreak/>
        <w:t>二、餘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撥補之預計</w:t>
      </w:r>
      <w:r w:rsidRPr="00F97342">
        <w:rPr>
          <w:rFonts w:ascii="標楷體" w:eastAsia="標楷體" w:hAnsi="標楷體"/>
          <w:b/>
          <w:color w:val="000000"/>
          <w:sz w:val="28"/>
        </w:rPr>
        <w:t>：</w:t>
      </w:r>
      <w:r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)本年度預計短絀2,890萬1千元，以前年度未分配賸餘</w:t>
      </w:r>
      <w:r w:rsidR="00D325ED">
        <w:rPr>
          <w:rFonts w:ascii="標楷體" w:eastAsia="標楷體" w:hAnsi="標楷體" w:hint="eastAsia"/>
          <w:sz w:val="28"/>
          <w:szCs w:val="28"/>
        </w:rPr>
        <w:t>6</w:t>
      </w:r>
      <w:r w:rsidRPr="00F97342">
        <w:rPr>
          <w:rFonts w:ascii="標楷體" w:eastAsia="標楷體" w:hAnsi="標楷體"/>
          <w:sz w:val="28"/>
          <w:szCs w:val="28"/>
        </w:rPr>
        <w:t>,</w:t>
      </w:r>
      <w:r w:rsidR="00D325ED">
        <w:rPr>
          <w:rFonts w:ascii="標楷體" w:eastAsia="標楷體" w:hAnsi="標楷體"/>
          <w:sz w:val="28"/>
          <w:szCs w:val="28"/>
        </w:rPr>
        <w:t>076</w:t>
      </w:r>
      <w:r w:rsidRPr="00F97342">
        <w:rPr>
          <w:rFonts w:ascii="標楷體" w:eastAsia="標楷體" w:hAnsi="標楷體"/>
          <w:sz w:val="28"/>
          <w:szCs w:val="28"/>
        </w:rPr>
        <w:t>萬</w:t>
      </w:r>
      <w:r w:rsidR="00D325ED">
        <w:rPr>
          <w:rFonts w:ascii="標楷體" w:eastAsia="標楷體" w:hAnsi="標楷體" w:hint="eastAsia"/>
          <w:sz w:val="28"/>
          <w:szCs w:val="28"/>
        </w:rPr>
        <w:t>5</w:t>
      </w:r>
      <w:r w:rsidRPr="00F97342">
        <w:rPr>
          <w:rFonts w:ascii="標楷體" w:eastAsia="標楷體" w:hAnsi="標楷體"/>
          <w:sz w:val="28"/>
          <w:szCs w:val="28"/>
        </w:rPr>
        <w:t>千元填補後，未分配賸餘3,</w:t>
      </w:r>
      <w:r w:rsidR="00D325ED">
        <w:rPr>
          <w:rFonts w:ascii="標楷體" w:eastAsia="標楷體" w:hAnsi="標楷體"/>
          <w:sz w:val="28"/>
          <w:szCs w:val="28"/>
        </w:rPr>
        <w:t>186</w:t>
      </w:r>
      <w:r w:rsidRPr="00F97342">
        <w:rPr>
          <w:rFonts w:ascii="標楷體" w:eastAsia="標楷體" w:hAnsi="標楷體"/>
          <w:sz w:val="28"/>
          <w:szCs w:val="28"/>
        </w:rPr>
        <w:t>萬</w:t>
      </w:r>
      <w:r w:rsidR="00D325ED">
        <w:rPr>
          <w:rFonts w:ascii="標楷體" w:eastAsia="標楷體" w:hAnsi="標楷體" w:hint="eastAsia"/>
          <w:sz w:val="28"/>
          <w:szCs w:val="28"/>
        </w:rPr>
        <w:t>4</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(二)本年度未分配賸餘3,</w:t>
      </w:r>
      <w:r w:rsidR="00D325ED">
        <w:rPr>
          <w:rFonts w:ascii="標楷體" w:eastAsia="標楷體" w:hAnsi="標楷體"/>
          <w:sz w:val="28"/>
          <w:szCs w:val="28"/>
        </w:rPr>
        <w:t>186</w:t>
      </w:r>
      <w:r w:rsidRPr="00F97342">
        <w:rPr>
          <w:rFonts w:ascii="標楷體" w:eastAsia="標楷體" w:hAnsi="標楷體"/>
          <w:sz w:val="28"/>
          <w:szCs w:val="28"/>
        </w:rPr>
        <w:t>萬</w:t>
      </w:r>
      <w:r w:rsidR="00D325ED">
        <w:rPr>
          <w:rFonts w:ascii="標楷體" w:eastAsia="標楷體" w:hAnsi="標楷體" w:hint="eastAsia"/>
          <w:sz w:val="28"/>
          <w:szCs w:val="28"/>
        </w:rPr>
        <w:t>4</w:t>
      </w:r>
      <w:r w:rsidRPr="00F97342">
        <w:rPr>
          <w:rFonts w:ascii="標楷體" w:eastAsia="標楷體" w:hAnsi="標楷體"/>
          <w:sz w:val="28"/>
          <w:szCs w:val="28"/>
        </w:rPr>
        <w:t>千元留待以後年度辦理分配。</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(三)本年度及最近</w:t>
      </w:r>
      <w:proofErr w:type="gramStart"/>
      <w:r w:rsidRPr="00F97342">
        <w:rPr>
          <w:rFonts w:ascii="標楷體" w:eastAsia="標楷體" w:hAnsi="標楷體"/>
          <w:sz w:val="28"/>
          <w:szCs w:val="28"/>
        </w:rPr>
        <w:t>五</w:t>
      </w:r>
      <w:proofErr w:type="gramEnd"/>
      <w:r w:rsidRPr="00F97342">
        <w:rPr>
          <w:rFonts w:ascii="標楷體" w:eastAsia="標楷體" w:hAnsi="標楷體"/>
          <w:sz w:val="28"/>
          <w:szCs w:val="28"/>
        </w:rPr>
        <w:t>年度賸餘分配詳圖4及圖5。</w:t>
      </w: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tbl>
      <w:tblPr>
        <w:tblW w:w="18169" w:type="dxa"/>
        <w:tblInd w:w="28" w:type="dxa"/>
        <w:tblCellMar>
          <w:left w:w="10" w:type="dxa"/>
          <w:right w:w="10" w:type="dxa"/>
        </w:tblCellMar>
        <w:tblLook w:val="0000" w:firstRow="0" w:lastRow="0" w:firstColumn="0" w:lastColumn="0" w:noHBand="0" w:noVBand="0"/>
      </w:tblPr>
      <w:tblGrid>
        <w:gridCol w:w="9776"/>
        <w:gridCol w:w="1207"/>
        <w:gridCol w:w="897"/>
        <w:gridCol w:w="1518"/>
        <w:gridCol w:w="1207"/>
        <w:gridCol w:w="1208"/>
        <w:gridCol w:w="1209"/>
        <w:gridCol w:w="1209"/>
      </w:tblGrid>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b/>
                <w:bCs/>
                <w:color w:val="000000"/>
                <w:kern w:val="0"/>
                <w:sz w:val="32"/>
                <w:szCs w:val="32"/>
              </w:rPr>
            </w:pPr>
          </w:p>
        </w:tc>
      </w:tr>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 xml:space="preserve">圖4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年度賸餘分配</w:t>
            </w:r>
          </w:p>
        </w:tc>
      </w:tr>
      <w:tr w:rsidR="0015433E" w:rsidRPr="00F97342" w:rsidTr="00CB25D5">
        <w:tblPrEx>
          <w:tblCellMar>
            <w:left w:w="28" w:type="dxa"/>
            <w:right w:w="28" w:type="dxa"/>
          </w:tblCellMar>
        </w:tblPrEx>
        <w:trPr>
          <w:trHeight w:val="371"/>
        </w:trPr>
        <w:tc>
          <w:tcPr>
            <w:tcW w:w="9714" w:type="dxa"/>
            <w:shd w:val="clear" w:color="auto" w:fill="auto"/>
            <w:noWrap/>
            <w:vAlign w:val="center"/>
          </w:tcPr>
          <w:p w:rsidR="0015433E" w:rsidRPr="00F97342" w:rsidRDefault="00CB25D5">
            <w:pPr>
              <w:widowControl/>
              <w:jc w:val="center"/>
            </w:pPr>
            <w:r>
              <w:rPr>
                <w:noProof/>
              </w:rPr>
              <w:drawing>
                <wp:inline distT="0" distB="0" distL="0" distR="0" wp14:anchorId="655E9A62" wp14:editId="1BA20C4E">
                  <wp:extent cx="5940425" cy="2834005"/>
                  <wp:effectExtent l="0" t="0" r="3175" b="4445"/>
                  <wp:docPr id="26" name="圖表 26">
                    <a:extLst xmlns:a="http://schemas.openxmlformats.org/drawingml/2006/main">
                      <a:ext uri="{FF2B5EF4-FFF2-40B4-BE49-F238E27FC236}">
                        <a16:creationId xmlns:a16="http://schemas.microsoft.com/office/drawing/2014/main" id="{758FEED5-4F2E-4C90-B961-5DE534CBF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jc w:val="center"/>
            </w:pPr>
            <w:r w:rsidRPr="00F97342">
              <w:rPr>
                <w:rFonts w:ascii="標楷體" w:eastAsia="標楷體" w:hAnsi="標楷體"/>
                <w:noProof/>
              </w:rPr>
              <w:drawing>
                <wp:inline distT="0" distB="0" distL="0" distR="0">
                  <wp:extent cx="5940427" cy="2675891"/>
                  <wp:effectExtent l="0" t="0" r="3175" b="0"/>
                  <wp:docPr id="19"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414" w:type="dxa"/>
              <w:jc w:val="center"/>
              <w:tblCellMar>
                <w:left w:w="10" w:type="dxa"/>
                <w:right w:w="10" w:type="dxa"/>
              </w:tblCellMar>
              <w:tblLook w:val="0000" w:firstRow="0" w:lastRow="0" w:firstColumn="0" w:lastColumn="0" w:noHBand="0" w:noVBand="0"/>
            </w:tblPr>
            <w:tblGrid>
              <w:gridCol w:w="1241"/>
              <w:gridCol w:w="1198"/>
              <w:gridCol w:w="340"/>
              <w:gridCol w:w="2099"/>
              <w:gridCol w:w="1155"/>
              <w:gridCol w:w="1396"/>
              <w:gridCol w:w="1985"/>
            </w:tblGrid>
            <w:tr w:rsidR="0015433E" w:rsidRPr="00F97342">
              <w:trPr>
                <w:trHeight w:val="85"/>
                <w:jc w:val="center"/>
              </w:trPr>
              <w:tc>
                <w:tcPr>
                  <w:tcW w:w="124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4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099"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381"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按分配程序分</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按所得對象分</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填補累積短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jc w:val="right"/>
                  </w:pPr>
                  <w:r w:rsidRPr="00F97342">
                    <w:rPr>
                      <w:rFonts w:ascii="標楷體" w:eastAsia="標楷體" w:hAnsi="標楷體"/>
                      <w:color w:val="000000"/>
                    </w:rPr>
                    <w:t>28,901</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中央政府所得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提存公積</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留存非營業基金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9F0889">
                  <w:pPr>
                    <w:jc w:val="right"/>
                    <w:rPr>
                      <w:rFonts w:ascii="標楷體" w:eastAsia="標楷體" w:hAnsi="標楷體"/>
                      <w:color w:val="000000"/>
                    </w:rPr>
                  </w:pPr>
                  <w:r>
                    <w:rPr>
                      <w:rFonts w:ascii="標楷體" w:eastAsia="標楷體" w:hAnsi="標楷體"/>
                      <w:color w:val="000000"/>
                    </w:rPr>
                    <w:t>60</w:t>
                  </w:r>
                  <w:r w:rsidR="0014494F" w:rsidRPr="00F97342">
                    <w:rPr>
                      <w:rFonts w:ascii="標楷體" w:eastAsia="標楷體" w:hAnsi="標楷體"/>
                      <w:color w:val="000000"/>
                    </w:rPr>
                    <w:t>,</w:t>
                  </w:r>
                  <w:r>
                    <w:rPr>
                      <w:rFonts w:ascii="標楷體" w:eastAsia="標楷體" w:hAnsi="標楷體"/>
                      <w:color w:val="000000"/>
                    </w:rPr>
                    <w:t>765</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賸餘撥充基金數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解繳公庫</w:t>
                  </w:r>
                  <w:proofErr w:type="gramEnd"/>
                  <w:r w:rsidRPr="00F97342">
                    <w:rPr>
                      <w:rFonts w:ascii="標楷體" w:eastAsia="標楷體" w:hAnsi="標楷體" w:cs="新細明體"/>
                      <w:color w:val="000000"/>
                      <w:kern w:val="0"/>
                    </w:rPr>
                    <w:t xml:space="preserve">淨額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其他依法分配數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未分配賸餘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w:t>
                  </w:r>
                  <w:r w:rsidR="00CB25D5">
                    <w:rPr>
                      <w:rFonts w:ascii="標楷體" w:eastAsia="標楷體" w:hAnsi="標楷體"/>
                      <w:color w:val="000000"/>
                    </w:rPr>
                    <w:t>1</w:t>
                  </w:r>
                  <w:r w:rsidRPr="00F97342">
                    <w:rPr>
                      <w:rFonts w:ascii="標楷體" w:eastAsia="標楷體" w:hAnsi="標楷體"/>
                      <w:color w:val="000000"/>
                    </w:rPr>
                    <w:t>,</w:t>
                  </w:r>
                  <w:r w:rsidR="00CB25D5">
                    <w:rPr>
                      <w:rFonts w:ascii="標楷體" w:eastAsia="標楷體" w:hAnsi="標楷體"/>
                      <w:color w:val="000000"/>
                    </w:rPr>
                    <w:t>864</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CB25D5">
                  <w:pPr>
                    <w:jc w:val="right"/>
                    <w:rPr>
                      <w:rFonts w:ascii="標楷體" w:eastAsia="標楷體" w:hAnsi="標楷體"/>
                      <w:color w:val="000000"/>
                    </w:rPr>
                  </w:pPr>
                  <w:r>
                    <w:rPr>
                      <w:rFonts w:ascii="標楷體" w:eastAsia="標楷體" w:hAnsi="標楷體"/>
                      <w:color w:val="000000"/>
                    </w:rPr>
                    <w:t>60</w:t>
                  </w:r>
                  <w:r w:rsidR="0014494F" w:rsidRPr="00F97342">
                    <w:rPr>
                      <w:rFonts w:ascii="標楷體" w:eastAsia="標楷體" w:hAnsi="標楷體"/>
                      <w:color w:val="000000"/>
                    </w:rPr>
                    <w:t>,</w:t>
                  </w:r>
                  <w:r>
                    <w:rPr>
                      <w:rFonts w:ascii="標楷體" w:eastAsia="標楷體" w:hAnsi="標楷體"/>
                      <w:color w:val="000000"/>
                    </w:rPr>
                    <w:t>765</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9F0889">
                  <w:pPr>
                    <w:jc w:val="right"/>
                    <w:rPr>
                      <w:rFonts w:ascii="標楷體" w:eastAsia="標楷體" w:hAnsi="標楷體"/>
                      <w:color w:val="000000"/>
                    </w:rPr>
                  </w:pPr>
                  <w:r>
                    <w:rPr>
                      <w:rFonts w:ascii="標楷體" w:eastAsia="標楷體" w:hAnsi="標楷體"/>
                      <w:color w:val="000000"/>
                    </w:rPr>
                    <w:t>60</w:t>
                  </w:r>
                  <w:r w:rsidR="0014494F" w:rsidRPr="00F97342">
                    <w:rPr>
                      <w:rFonts w:ascii="標楷體" w:eastAsia="標楷體" w:hAnsi="標楷體"/>
                      <w:color w:val="000000"/>
                    </w:rPr>
                    <w:t>,</w:t>
                  </w:r>
                  <w:r>
                    <w:rPr>
                      <w:rFonts w:ascii="標楷體" w:eastAsia="標楷體" w:hAnsi="標楷體"/>
                      <w:color w:val="000000"/>
                    </w:rPr>
                    <w:t>765</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tcPr>
          <w:p w:rsidR="003965B2" w:rsidRDefault="003965B2" w:rsidP="003965B2">
            <w:pPr>
              <w:widowControl/>
              <w:jc w:val="center"/>
              <w:rPr>
                <w:rFonts w:ascii="標楷體" w:eastAsia="標楷體" w:hAnsi="標楷體" w:cs="新細明體"/>
                <w:b/>
                <w:bCs/>
                <w:color w:val="000000"/>
                <w:kern w:val="0"/>
                <w:sz w:val="32"/>
                <w:szCs w:val="32"/>
              </w:rPr>
            </w:pPr>
          </w:p>
          <w:p w:rsidR="0015433E" w:rsidRPr="00F97342" w:rsidRDefault="0014494F" w:rsidP="003965B2">
            <w:pPr>
              <w:widowControl/>
              <w:jc w:val="center"/>
            </w:pPr>
            <w:r w:rsidRPr="00F97342">
              <w:rPr>
                <w:rFonts w:ascii="標楷體" w:eastAsia="標楷體" w:hAnsi="標楷體" w:cs="新細明體"/>
                <w:b/>
                <w:bCs/>
                <w:color w:val="000000"/>
                <w:kern w:val="0"/>
                <w:sz w:val="32"/>
                <w:szCs w:val="32"/>
                <w:u w:val="single"/>
              </w:rPr>
              <w:t>圖5  最近五年賸餘分配</w:t>
            </w:r>
          </w:p>
        </w:tc>
        <w:tc>
          <w:tcPr>
            <w:tcW w:w="1207"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rsidP="003965B2">
            <w:pPr>
              <w:widowControl/>
              <w:jc w:val="center"/>
              <w:rPr>
                <w:rFonts w:ascii="標楷體" w:eastAsia="標楷體" w:hAnsi="標楷體" w:cs="新細明體"/>
                <w:color w:val="000000"/>
                <w:kern w:val="0"/>
              </w:rPr>
            </w:pPr>
          </w:p>
        </w:tc>
      </w:tr>
      <w:tr w:rsidR="0015433E" w:rsidRPr="00F97342" w:rsidTr="003965B2">
        <w:tblPrEx>
          <w:tblCellMar>
            <w:left w:w="28" w:type="dxa"/>
            <w:right w:w="28" w:type="dxa"/>
          </w:tblCellMar>
        </w:tblPrEx>
        <w:trPr>
          <w:trHeight w:val="371"/>
        </w:trPr>
        <w:tc>
          <w:tcPr>
            <w:tcW w:w="9714" w:type="dxa"/>
            <w:shd w:val="clear" w:color="auto" w:fill="auto"/>
            <w:noWrap/>
            <w:vAlign w:val="center"/>
          </w:tcPr>
          <w:p w:rsidR="0015433E" w:rsidRPr="00F97342" w:rsidRDefault="003965B2">
            <w:pPr>
              <w:widowControl/>
              <w:jc w:val="center"/>
            </w:pPr>
            <w:r w:rsidRPr="00F9734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4709160</wp:posOffset>
                      </wp:positionH>
                      <wp:positionV relativeFrom="paragraph">
                        <wp:posOffset>4504690</wp:posOffset>
                      </wp:positionV>
                      <wp:extent cx="504190" cy="738505"/>
                      <wp:effectExtent l="0" t="0" r="0" b="3814"/>
                      <wp:wrapNone/>
                      <wp:docPr id="21" name="Text Box 279"/>
                      <wp:cNvGraphicFramePr/>
                      <a:graphic xmlns:a="http://schemas.openxmlformats.org/drawingml/2006/main">
                        <a:graphicData uri="http://schemas.microsoft.com/office/word/2010/wordprocessingShape">
                          <wps:wsp>
                            <wps:cNvSpPr txBox="1"/>
                            <wps:spPr>
                              <a:xfrm>
                                <a:off x="0" y="0"/>
                                <a:ext cx="504190" cy="738505"/>
                              </a:xfrm>
                              <a:prstGeom prst="rect">
                                <a:avLst/>
                              </a:prstGeom>
                              <a:solidFill>
                                <a:srgbClr val="FFFFFF"/>
                              </a:solidFill>
                              <a:ln>
                                <a:noFill/>
                                <a:prstDash/>
                              </a:ln>
                            </wps:spPr>
                            <wps:txbx>
                              <w:txbxContent>
                                <w:p w:rsidR="0015433E" w:rsidRDefault="0014494F">
                                  <w:r w:rsidRPr="00C0288B">
                                    <w:rPr>
                                      <w:rFonts w:ascii="標楷體" w:eastAsia="標楷體" w:hAnsi="標楷體"/>
                                      <w:color w:val="000000"/>
                                    </w:rPr>
                                    <w:t>年度</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9" o:spid="_x0000_s1028" type="#_x0000_t202" style="position:absolute;left:0;text-align:left;margin-left:370.8pt;margin-top:354.7pt;width:39.7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" stroked="f">
                      <v:textbox>
                        <w:txbxContent>
                          <w:p w:rsidR="0015433E" w:rsidRDefault="0014494F">
                            <w:r w:rsidRPr="00C0288B">
                              <w:rPr>
                                <w:rFonts w:ascii="標楷體" w:eastAsia="標楷體" w:hAnsi="標楷體"/>
                                <w:color w:val="000000"/>
                              </w:rPr>
                              <w:t>年度</w:t>
                            </w:r>
                          </w:p>
                        </w:txbxContent>
                      </v:textbox>
                    </v:shape>
                  </w:pict>
                </mc:Fallback>
              </mc:AlternateContent>
            </w:r>
            <w:r>
              <w:rPr>
                <w:noProof/>
              </w:rPr>
              <w:drawing>
                <wp:inline distT="0" distB="0" distL="0" distR="0" wp14:anchorId="4088228D" wp14:editId="41A24148">
                  <wp:extent cx="6172200" cy="5450840"/>
                  <wp:effectExtent l="0" t="0" r="0" b="0"/>
                  <wp:docPr id="4" name="圖表 4">
                    <a:extLst xmlns:a="http://schemas.openxmlformats.org/drawingml/2006/main">
                      <a:ext uri="{FF2B5EF4-FFF2-40B4-BE49-F238E27FC236}">
                        <a16:creationId xmlns:a16="http://schemas.microsoft.com/office/drawing/2014/main" id="{A0C97F10-93DA-4809-A42C-7A6050484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B1608" w:rsidRPr="00F97342">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-461010</wp:posOffset>
                      </wp:positionV>
                      <wp:extent cx="594360" cy="701040"/>
                      <wp:effectExtent l="0" t="0" r="0" b="3807"/>
                      <wp:wrapNone/>
                      <wp:docPr id="20" name="Text Box 278"/>
                      <wp:cNvGraphicFramePr/>
                      <a:graphic xmlns:a="http://schemas.openxmlformats.org/drawingml/2006/main">
                        <a:graphicData uri="http://schemas.microsoft.com/office/word/2010/wordprocessingShape">
                          <wps:wsp>
                            <wps:cNvSpPr txBox="1"/>
                            <wps:spPr>
                              <a:xfrm>
                                <a:off x="0" y="0"/>
                                <a:ext cx="594360" cy="701040"/>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left:0;text-align:left;margin-left:17pt;margin-top:-36.3pt;width:46.8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p>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tbl>
            <w:tblPr>
              <w:tblW w:w="9496" w:type="dxa"/>
              <w:jc w:val="center"/>
              <w:tblCellMar>
                <w:left w:w="10" w:type="dxa"/>
                <w:right w:w="10" w:type="dxa"/>
              </w:tblCellMar>
              <w:tblLook w:val="0000" w:firstRow="0" w:lastRow="0" w:firstColumn="0" w:lastColumn="0" w:noHBand="0" w:noVBand="0"/>
            </w:tblPr>
            <w:tblGrid>
              <w:gridCol w:w="1861"/>
              <w:gridCol w:w="1527"/>
              <w:gridCol w:w="1527"/>
              <w:gridCol w:w="1457"/>
              <w:gridCol w:w="1597"/>
              <w:gridCol w:w="1527"/>
            </w:tblGrid>
            <w:tr w:rsidR="0015433E" w:rsidRPr="00F97342">
              <w:trPr>
                <w:trHeight w:val="170"/>
                <w:jc w:val="center"/>
              </w:trPr>
              <w:tc>
                <w:tcPr>
                  <w:tcW w:w="186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5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24"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ind w:firstLine="1080"/>
                  </w:pPr>
                  <w:r w:rsidRPr="00F97342">
                    <w:rPr>
                      <w:rFonts w:ascii="標楷體" w:eastAsia="標楷體" w:hAnsi="標楷體" w:cs="新細明體"/>
                      <w:color w:val="000000"/>
                      <w:kern w:val="0"/>
                    </w:rPr>
                    <w:t xml:space="preserve"> 單位:新臺幣千元</w:t>
                  </w:r>
                </w:p>
              </w:tc>
            </w:tr>
            <w:tr w:rsidR="0015433E" w:rsidRPr="00F97342">
              <w:trPr>
                <w:trHeight w:val="7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ind w:right="240"/>
                    <w:jc w:val="right"/>
                    <w:rPr>
                      <w:rFonts w:ascii="標楷體" w:eastAsia="標楷體" w:hAnsi="標楷體" w:cs="新細明體"/>
                      <w:color w:val="000000"/>
                      <w:kern w:val="0"/>
                    </w:rPr>
                  </w:pPr>
                  <w:r w:rsidRPr="00F97342">
                    <w:rPr>
                      <w:rFonts w:ascii="標楷體" w:eastAsia="標楷體" w:hAnsi="標楷體" w:cs="新細明體"/>
                      <w:color w:val="000000"/>
                      <w:kern w:val="0"/>
                    </w:rPr>
                    <w:t>年度</w:t>
                  </w:r>
                </w:p>
                <w:p w:rsidR="0015433E" w:rsidRPr="00F97342" w:rsidRDefault="0014494F">
                  <w:pPr>
                    <w:ind w:firstLine="240"/>
                    <w:rPr>
                      <w:rFonts w:ascii="標楷體" w:eastAsia="標楷體" w:hAnsi="標楷體" w:cs="新細明體"/>
                    </w:rPr>
                  </w:pPr>
                  <w:r w:rsidRPr="00F97342">
                    <w:rPr>
                      <w:rFonts w:ascii="標楷體" w:eastAsia="標楷體" w:hAnsi="標楷體" w:cs="新細明體"/>
                    </w:rPr>
                    <w:t>項目</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jc w:val="center"/>
                  </w:pPr>
                  <w:proofErr w:type="gramStart"/>
                  <w:r w:rsidRPr="00F97342">
                    <w:rPr>
                      <w:rFonts w:ascii="標楷體" w:eastAsia="標楷體" w:hAnsi="標楷體"/>
                      <w:color w:val="000000"/>
                    </w:rPr>
                    <w:t>107</w:t>
                  </w:r>
                  <w:proofErr w:type="gramEnd"/>
                  <w:r w:rsidRPr="00F97342">
                    <w:rPr>
                      <w:rFonts w:ascii="標楷體" w:eastAsia="標楷體" w:hAnsi="標楷體"/>
                      <w:color w:val="000000"/>
                    </w:rPr>
                    <w:t>年度決算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108</w:t>
                  </w:r>
                  <w:proofErr w:type="gramEnd"/>
                  <w:r w:rsidRPr="00F97342">
                    <w:rPr>
                      <w:rFonts w:ascii="標楷體" w:eastAsia="標楷體" w:hAnsi="標楷體"/>
                      <w:color w:val="000000"/>
                    </w:rPr>
                    <w:t>年度決算</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109</w:t>
                  </w:r>
                  <w:proofErr w:type="gramEnd"/>
                  <w:r w:rsidRPr="00F97342">
                    <w:rPr>
                      <w:rFonts w:ascii="標楷體" w:eastAsia="標楷體" w:hAnsi="標楷體"/>
                      <w:color w:val="000000"/>
                    </w:rPr>
                    <w:t>年度決算</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110</w:t>
                  </w:r>
                  <w:proofErr w:type="gramEnd"/>
                  <w:r w:rsidRPr="00F97342">
                    <w:rPr>
                      <w:rFonts w:ascii="標楷體" w:eastAsia="標楷體" w:hAnsi="標楷體"/>
                      <w:color w:val="000000"/>
                    </w:rPr>
                    <w:t>年度預算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r>
            <w:tr w:rsidR="0015433E" w:rsidRPr="00F97342" w:rsidTr="00CB25D5">
              <w:trPr>
                <w:trHeight w:val="463"/>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賸餘分配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CB25D5"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25D5" w:rsidRPr="00F97342" w:rsidRDefault="00CB25D5" w:rsidP="00CB25D5">
                  <w:pPr>
                    <w:ind w:right="480"/>
                    <w:jc w:val="right"/>
                    <w:rPr>
                      <w:rFonts w:ascii="標楷體" w:eastAsia="標楷體" w:hAnsi="標楷體"/>
                      <w:color w:val="000000"/>
                    </w:rPr>
                  </w:pPr>
                  <w:r w:rsidRPr="00F97342">
                    <w:rPr>
                      <w:rFonts w:ascii="標楷體" w:eastAsia="標楷體" w:hAnsi="標楷體"/>
                      <w:color w:val="000000"/>
                    </w:rPr>
                    <w:t xml:space="preserve">分配之部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widowControl/>
                    <w:suppressAutoHyphens w:val="0"/>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21,353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21,361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widowControl/>
                    <w:suppressAutoHyphens w:val="0"/>
                    <w:jc w:val="right"/>
                    <w:rPr>
                      <w:rFonts w:ascii="標楷體" w:eastAsia="標楷體" w:hAnsi="標楷體"/>
                      <w:color w:val="000000"/>
                      <w:kern w:val="0"/>
                    </w:rPr>
                  </w:pPr>
                  <w:r>
                    <w:rPr>
                      <w:rFonts w:ascii="標楷體" w:eastAsia="標楷體" w:hAnsi="標楷體" w:hint="eastAsia"/>
                      <w:color w:val="000000"/>
                    </w:rPr>
                    <w:t>29,678</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28,901</w:t>
                  </w:r>
                </w:p>
              </w:tc>
            </w:tr>
            <w:tr w:rsidR="00CB25D5" w:rsidRPr="00F97342">
              <w:trPr>
                <w:trHeight w:val="325"/>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 xml:space="preserve">　填補累積短</w:t>
                  </w:r>
                  <w:proofErr w:type="gramStart"/>
                  <w:r w:rsidRPr="00F97342">
                    <w:rPr>
                      <w:rFonts w:ascii="標楷體" w:eastAsia="標楷體" w:hAnsi="標楷體"/>
                      <w:color w:val="000000"/>
                    </w:rPr>
                    <w:t>絀</w:t>
                  </w:r>
                  <w:proofErr w:type="gramEnd"/>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21,353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21,361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29,678</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28,901</w:t>
                  </w:r>
                </w:p>
              </w:tc>
            </w:tr>
            <w:tr w:rsidR="00CB25D5"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25D5" w:rsidRPr="00F97342" w:rsidRDefault="00CB25D5" w:rsidP="00CB25D5">
                  <w:pPr>
                    <w:ind w:right="240"/>
                    <w:jc w:val="right"/>
                    <w:rPr>
                      <w:rFonts w:ascii="標楷體" w:eastAsia="標楷體" w:hAnsi="標楷體"/>
                      <w:color w:val="000000"/>
                    </w:rPr>
                  </w:pPr>
                  <w:r w:rsidRPr="00F97342">
                    <w:rPr>
                      <w:rFonts w:ascii="標楷體" w:eastAsia="標楷體" w:hAnsi="標楷體"/>
                      <w:color w:val="000000"/>
                    </w:rPr>
                    <w:t xml:space="preserve">未分配賸餘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111,804</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90,443</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52,518</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31,864</w:t>
                  </w:r>
                </w:p>
              </w:tc>
            </w:tr>
            <w:tr w:rsidR="00CB25D5" w:rsidRPr="00F97342">
              <w:trPr>
                <w:trHeight w:val="1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25D5" w:rsidRPr="00F97342" w:rsidRDefault="00CB25D5" w:rsidP="00CB25D5">
                  <w:pPr>
                    <w:ind w:right="480"/>
                    <w:jc w:val="right"/>
                    <w:rPr>
                      <w:rFonts w:ascii="標楷體" w:eastAsia="標楷體" w:hAnsi="標楷體"/>
                      <w:color w:val="000000"/>
                    </w:rPr>
                  </w:pPr>
                  <w:r w:rsidRPr="00F97342">
                    <w:rPr>
                      <w:rFonts w:ascii="標楷體" w:eastAsia="標楷體" w:hAnsi="標楷體"/>
                      <w:color w:val="000000"/>
                    </w:rPr>
                    <w:t xml:space="preserve">合    計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133,157</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Pr="00F97342" w:rsidRDefault="00CB25D5" w:rsidP="00CB25D5">
                  <w:pPr>
                    <w:jc w:val="right"/>
                    <w:rPr>
                      <w:rFonts w:ascii="標楷體" w:eastAsia="標楷體" w:hAnsi="標楷體"/>
                      <w:color w:val="000000"/>
                    </w:rPr>
                  </w:pPr>
                  <w:r w:rsidRPr="00F97342">
                    <w:rPr>
                      <w:rFonts w:ascii="標楷體" w:eastAsia="標楷體" w:hAnsi="標楷體"/>
                      <w:color w:val="000000"/>
                    </w:rPr>
                    <w:t>111,804</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82,196</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B25D5" w:rsidRDefault="00CB25D5" w:rsidP="00CB25D5">
                  <w:pPr>
                    <w:jc w:val="right"/>
                    <w:rPr>
                      <w:rFonts w:ascii="標楷體" w:eastAsia="標楷體" w:hAnsi="標楷體"/>
                      <w:color w:val="000000"/>
                    </w:rPr>
                  </w:pPr>
                  <w:r>
                    <w:rPr>
                      <w:rFonts w:ascii="標楷體" w:eastAsia="標楷體" w:hAnsi="標楷體" w:hint="eastAsia"/>
                      <w:color w:val="000000"/>
                    </w:rPr>
                    <w:t>60,765</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Default="0014494F">
            <w:pPr>
              <w:widowControl/>
              <w:rPr>
                <w:rFonts w:ascii="標楷體" w:eastAsia="標楷體" w:hAnsi="標楷體"/>
                <w:sz w:val="28"/>
                <w:szCs w:val="28"/>
              </w:rPr>
            </w:pPr>
            <w:r w:rsidRPr="00F97342">
              <w:rPr>
                <w:rFonts w:ascii="標楷體" w:eastAsia="標楷體" w:hAnsi="標楷體"/>
                <w:sz w:val="28"/>
                <w:szCs w:val="28"/>
              </w:rPr>
              <w:t>備註：107至109年度決算數為審定決算數；</w:t>
            </w:r>
            <w:proofErr w:type="gramStart"/>
            <w:r w:rsidRPr="00F97342">
              <w:rPr>
                <w:rFonts w:ascii="標楷體" w:eastAsia="標楷體" w:hAnsi="標楷體"/>
                <w:sz w:val="28"/>
                <w:szCs w:val="28"/>
              </w:rPr>
              <w:t>110</w:t>
            </w:r>
            <w:proofErr w:type="gramEnd"/>
            <w:r w:rsidRPr="00F97342">
              <w:rPr>
                <w:rFonts w:ascii="標楷體" w:eastAsia="標楷體" w:hAnsi="標楷體"/>
                <w:sz w:val="28"/>
                <w:szCs w:val="28"/>
              </w:rPr>
              <w:t>年度為</w:t>
            </w:r>
            <w:r w:rsidR="00CB25D5">
              <w:rPr>
                <w:rFonts w:ascii="標楷體" w:eastAsia="標楷體" w:hAnsi="標楷體" w:hint="eastAsia"/>
                <w:sz w:val="28"/>
                <w:szCs w:val="28"/>
              </w:rPr>
              <w:t>法定</w:t>
            </w:r>
            <w:r w:rsidRPr="00F97342">
              <w:rPr>
                <w:rFonts w:ascii="標楷體" w:eastAsia="標楷體" w:hAnsi="標楷體"/>
                <w:sz w:val="28"/>
                <w:szCs w:val="28"/>
              </w:rPr>
              <w:t>預算數。</w:t>
            </w:r>
          </w:p>
          <w:p w:rsidR="003965B2" w:rsidRPr="00F97342" w:rsidRDefault="003965B2">
            <w:pPr>
              <w:widowControl/>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bl>
    <w:p w:rsidR="003965B2" w:rsidRDefault="003965B2">
      <w:pPr>
        <w:spacing w:before="90" w:line="0" w:lineRule="atLeast"/>
        <w:ind w:left="800" w:hanging="560"/>
        <w:rPr>
          <w:rFonts w:ascii="標楷體" w:eastAsia="標楷體" w:hAnsi="標楷體"/>
          <w:sz w:val="28"/>
          <w:szCs w:val="28"/>
        </w:rPr>
      </w:pPr>
    </w:p>
    <w:p w:rsidR="0015433E" w:rsidRPr="00F97342" w:rsidRDefault="0014494F">
      <w:pPr>
        <w:spacing w:before="90" w:line="0" w:lineRule="atLeast"/>
        <w:ind w:left="800" w:hanging="560"/>
      </w:pPr>
      <w:r w:rsidRPr="00F97342">
        <w:rPr>
          <w:rFonts w:ascii="標楷體" w:eastAsia="標楷體" w:hAnsi="標楷體"/>
          <w:sz w:val="28"/>
          <w:szCs w:val="28"/>
        </w:rPr>
        <w:lastRenderedPageBreak/>
        <w:t>三、現金流量之預計</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)預計業務活動</w:t>
      </w:r>
      <w:r w:rsidRPr="00C0288B">
        <w:rPr>
          <w:rFonts w:ascii="標楷體" w:eastAsia="標楷體" w:hAnsi="標楷體"/>
          <w:sz w:val="28"/>
          <w:szCs w:val="28"/>
        </w:rPr>
        <w:t>之現</w:t>
      </w:r>
      <w:r w:rsidRPr="00F97342">
        <w:rPr>
          <w:rFonts w:ascii="標楷體" w:eastAsia="標楷體" w:hAnsi="標楷體"/>
          <w:sz w:val="28"/>
          <w:szCs w:val="28"/>
        </w:rPr>
        <w:t>金流入1億</w:t>
      </w:r>
      <w:r w:rsidRPr="00C0288B">
        <w:rPr>
          <w:rFonts w:ascii="標楷體" w:eastAsia="標楷體" w:hAnsi="標楷體"/>
          <w:sz w:val="28"/>
          <w:szCs w:val="28"/>
        </w:rPr>
        <w:t>0,</w:t>
      </w:r>
      <w:r w:rsidRPr="00F97342">
        <w:rPr>
          <w:rFonts w:ascii="標楷體" w:eastAsia="標楷體" w:hAnsi="標楷體"/>
          <w:sz w:val="28"/>
          <w:szCs w:val="28"/>
        </w:rPr>
        <w:t>124萬1千元，包括：</w:t>
      </w:r>
    </w:p>
    <w:p w:rsidR="0015433E" w:rsidRPr="00F97342" w:rsidRDefault="0014494F">
      <w:pPr>
        <w:spacing w:before="90" w:line="0" w:lineRule="atLeast"/>
        <w:ind w:left="1120" w:hanging="280"/>
        <w:jc w:val="both"/>
      </w:pPr>
      <w:r w:rsidRPr="00F97342">
        <w:rPr>
          <w:rFonts w:ascii="標楷體" w:eastAsia="標楷體" w:hAnsi="標楷體"/>
          <w:sz w:val="28"/>
          <w:szCs w:val="28"/>
        </w:rPr>
        <w:t>1.</w:t>
      </w:r>
      <w:r w:rsidRPr="00F97342">
        <w:rPr>
          <w:rFonts w:ascii="標楷體" w:eastAsia="標楷體" w:hAnsi="標楷體" w:cs="新細明體"/>
          <w:kern w:val="0"/>
          <w:sz w:val="28"/>
          <w:szCs w:val="28"/>
        </w:rPr>
        <w:t>本期短</w:t>
      </w:r>
      <w:proofErr w:type="gramStart"/>
      <w:r w:rsidRPr="00F97342">
        <w:rPr>
          <w:rFonts w:ascii="標楷體" w:eastAsia="標楷體" w:hAnsi="標楷體" w:cs="新細明體"/>
          <w:kern w:val="0"/>
          <w:sz w:val="28"/>
          <w:szCs w:val="28"/>
        </w:rPr>
        <w:t>絀</w:t>
      </w:r>
      <w:proofErr w:type="gramEnd"/>
      <w:r w:rsidRPr="00F97342">
        <w:rPr>
          <w:rFonts w:ascii="標楷體" w:eastAsia="標楷體" w:hAnsi="標楷體"/>
          <w:sz w:val="28"/>
          <w:szCs w:val="28"/>
        </w:rPr>
        <w:t>2,890萬1千元，調整利息收入1,071萬4千元及股利收入76萬元，未計利息股利之本期短絀4,037萬5千元。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2.調整項目1億4,111萬6千元，包括折舊1億1,648萬元及攤銷2,812萬1千元，提列應付退休及離職金1萬5千元，以及遞延收入隨折舊費用提列分別轉列其他補助收入200萬元及受贈收入150萬元。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3.收取利息50萬元。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(二)預計投資活動之現金流出9,953萬1千元，包括收取利息1,021萬4千元及股利76萬元、增加準備金1萬5千元、增加固定資產7,890萬1千元、無形資產555萬3千元及其他資產2,603萬6千元。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(三)預計籌資活動之現金流入6,113萬1千元，係增加基金預算數。</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(四)預計本期現金及約當現金淨增6,284萬1千元。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(五)期初現金及約當現金5億</w:t>
      </w:r>
      <w:r w:rsidR="00252219">
        <w:rPr>
          <w:rFonts w:ascii="標楷體" w:eastAsia="標楷體" w:hAnsi="標楷體" w:hint="eastAsia"/>
          <w:sz w:val="28"/>
          <w:szCs w:val="28"/>
        </w:rPr>
        <w:t>2</w:t>
      </w:r>
      <w:r w:rsidRPr="00F97342">
        <w:rPr>
          <w:rFonts w:ascii="標楷體" w:eastAsia="標楷體" w:hAnsi="標楷體"/>
          <w:sz w:val="28"/>
          <w:szCs w:val="28"/>
        </w:rPr>
        <w:t>,</w:t>
      </w:r>
      <w:r w:rsidR="00252219">
        <w:rPr>
          <w:rFonts w:ascii="標楷體" w:eastAsia="標楷體" w:hAnsi="標楷體" w:hint="eastAsia"/>
          <w:sz w:val="28"/>
          <w:szCs w:val="28"/>
        </w:rPr>
        <w:t>114</w:t>
      </w:r>
      <w:r w:rsidRPr="00F97342">
        <w:rPr>
          <w:rFonts w:ascii="標楷體" w:eastAsia="標楷體" w:hAnsi="標楷體"/>
          <w:sz w:val="28"/>
          <w:szCs w:val="28"/>
        </w:rPr>
        <w:t>萬</w:t>
      </w:r>
      <w:r w:rsidR="00252219">
        <w:rPr>
          <w:rFonts w:ascii="標楷體" w:eastAsia="標楷體" w:hAnsi="標楷體" w:hint="eastAsia"/>
          <w:sz w:val="28"/>
          <w:szCs w:val="28"/>
        </w:rPr>
        <w:t>9</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(六)預計期末現金及約當現金5億8,</w:t>
      </w:r>
      <w:r w:rsidR="00252219">
        <w:rPr>
          <w:rFonts w:ascii="標楷體" w:eastAsia="標楷體" w:hAnsi="標楷體" w:hint="eastAsia"/>
          <w:sz w:val="28"/>
          <w:szCs w:val="28"/>
        </w:rPr>
        <w:t>399</w:t>
      </w:r>
      <w:r w:rsidRPr="00F97342">
        <w:rPr>
          <w:rFonts w:ascii="標楷體" w:eastAsia="標楷體" w:hAnsi="標楷體"/>
          <w:sz w:val="28"/>
          <w:szCs w:val="28"/>
        </w:rPr>
        <w:t>萬元。</w:t>
      </w:r>
    </w:p>
    <w:p w:rsidR="0015433E" w:rsidRPr="00252219" w:rsidRDefault="0015433E">
      <w:pPr>
        <w:spacing w:line="0" w:lineRule="atLeast"/>
        <w:ind w:left="280" w:hanging="280"/>
        <w:rPr>
          <w:rFonts w:ascii="標楷體" w:eastAsia="標楷體" w:hAnsi="標楷體"/>
          <w:sz w:val="28"/>
          <w:szCs w:val="28"/>
        </w:rPr>
      </w:pPr>
    </w:p>
    <w:p w:rsidR="0015433E" w:rsidRDefault="0014494F">
      <w:pPr>
        <w:spacing w:before="90" w:line="0" w:lineRule="atLeast"/>
        <w:ind w:left="800" w:hanging="560"/>
      </w:pPr>
      <w:r w:rsidRPr="00F97342">
        <w:rPr>
          <w:rFonts w:ascii="標楷體" w:eastAsia="標楷體" w:hAnsi="標楷體"/>
          <w:sz w:val="28"/>
          <w:szCs w:val="28"/>
        </w:rPr>
        <w:t>四、補辦預算事項：因辦理教育部專案型補助計畫所需，報經行政院109年</w:t>
      </w:r>
      <w:r w:rsidRPr="00F97342">
        <w:rPr>
          <w:rFonts w:ascii="標楷體" w:eastAsia="標楷體" w:hAnsi="標楷體"/>
          <w:w w:val="104"/>
          <w:sz w:val="28"/>
          <w:szCs w:val="28"/>
        </w:rPr>
        <w:t>11月25日</w:t>
      </w:r>
      <w:proofErr w:type="gramStart"/>
      <w:r w:rsidRPr="00F97342">
        <w:rPr>
          <w:rFonts w:ascii="標楷體" w:eastAsia="標楷體" w:hAnsi="標楷體"/>
          <w:w w:val="104"/>
          <w:sz w:val="28"/>
          <w:szCs w:val="28"/>
        </w:rPr>
        <w:t>院授教字</w:t>
      </w:r>
      <w:proofErr w:type="gramEnd"/>
      <w:r w:rsidRPr="00F97342">
        <w:rPr>
          <w:rFonts w:ascii="標楷體" w:eastAsia="標楷體" w:hAnsi="標楷體"/>
          <w:w w:val="104"/>
          <w:sz w:val="28"/>
          <w:szCs w:val="28"/>
        </w:rPr>
        <w:t>第1090169900B號函同意</w:t>
      </w:r>
      <w:proofErr w:type="gramStart"/>
      <w:r w:rsidRPr="00F97342">
        <w:rPr>
          <w:rFonts w:ascii="標楷體" w:eastAsia="標楷體" w:hAnsi="標楷體"/>
          <w:w w:val="104"/>
          <w:sz w:val="28"/>
          <w:szCs w:val="28"/>
        </w:rPr>
        <w:t>10</w:t>
      </w:r>
      <w:proofErr w:type="gramEnd"/>
      <w:r w:rsidRPr="00F97342">
        <w:rPr>
          <w:rFonts w:ascii="標楷體" w:eastAsia="標楷體" w:hAnsi="標楷體"/>
          <w:w w:val="104"/>
          <w:sz w:val="28"/>
          <w:szCs w:val="28"/>
        </w:rPr>
        <w:t>9年度先行辦理並補辦</w:t>
      </w:r>
      <w:proofErr w:type="gramStart"/>
      <w:r w:rsidRPr="00F97342">
        <w:rPr>
          <w:rFonts w:ascii="標楷體" w:eastAsia="標楷體" w:hAnsi="標楷體"/>
          <w:sz w:val="28"/>
          <w:szCs w:val="28"/>
        </w:rPr>
        <w:t>11</w:t>
      </w:r>
      <w:proofErr w:type="gramEnd"/>
      <w:r w:rsidRPr="00F97342">
        <w:rPr>
          <w:rFonts w:ascii="標楷體" w:eastAsia="標楷體" w:hAnsi="標楷體"/>
          <w:sz w:val="28"/>
          <w:szCs w:val="28"/>
        </w:rPr>
        <w:t>1年度一般建築及設備計畫預算1,250萬元。</w:t>
      </w:r>
    </w:p>
    <w:p w:rsidR="0015433E" w:rsidRDefault="0015433E">
      <w:pPr>
        <w:spacing w:line="0" w:lineRule="atLeast"/>
        <w:rPr>
          <w:rFonts w:ascii="標楷體" w:eastAsia="標楷體" w:hAnsi="標楷體"/>
          <w:sz w:val="28"/>
          <w:szCs w:val="28"/>
        </w:rPr>
      </w:pPr>
    </w:p>
    <w:sectPr w:rsidR="0015433E">
      <w:headerReference w:type="default" r:id="rId15"/>
      <w:footerReference w:type="default" r:id="rId16"/>
      <w:pgSz w:w="11906" w:h="16838"/>
      <w:pgMar w:top="1440" w:right="1133" w:bottom="1440" w:left="1418" w:header="567" w:footer="992" w:gutter="0"/>
      <w:pgNumType w:start="1"/>
      <w:cols w:space="720"/>
      <w:docGrid w:type="lines" w:linePitch="1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B2" w:rsidRDefault="00C232B2">
      <w:r>
        <w:separator/>
      </w:r>
    </w:p>
  </w:endnote>
  <w:endnote w:type="continuationSeparator" w:id="0">
    <w:p w:rsidR="00C232B2" w:rsidRDefault="00C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66" w:rsidRDefault="00C232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B2" w:rsidRDefault="00C232B2">
      <w:r>
        <w:rPr>
          <w:color w:val="000000"/>
        </w:rPr>
        <w:separator/>
      </w:r>
    </w:p>
  </w:footnote>
  <w:footnote w:type="continuationSeparator" w:id="0">
    <w:p w:rsidR="00C232B2" w:rsidRDefault="00C2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66" w:rsidRDefault="0014494F">
    <w:pPr>
      <w:ind w:firstLine="2868"/>
      <w:rPr>
        <w:rFonts w:ascii="標楷體" w:eastAsia="標楷體" w:hAnsi="標楷體"/>
        <w:b/>
        <w:sz w:val="28"/>
        <w:szCs w:val="28"/>
        <w:u w:val="single"/>
      </w:rPr>
    </w:pPr>
    <w:r>
      <w:rPr>
        <w:rFonts w:ascii="標楷體" w:eastAsia="標楷體" w:hAnsi="標楷體"/>
        <w:b/>
        <w:sz w:val="28"/>
        <w:szCs w:val="28"/>
        <w:u w:val="single"/>
      </w:rPr>
      <w:t>國立體育大學校務基金</w:t>
    </w:r>
  </w:p>
  <w:p w:rsidR="006B1066" w:rsidRDefault="0014494F">
    <w:pPr>
      <w:ind w:firstLine="3240"/>
      <w:jc w:val="both"/>
      <w:rPr>
        <w:rFonts w:ascii="標楷體" w:eastAsia="標楷體" w:hAnsi="標楷體"/>
      </w:rPr>
    </w:pPr>
    <w:r>
      <w:rPr>
        <w:rFonts w:ascii="標楷體" w:eastAsia="標楷體" w:hAnsi="標楷體"/>
      </w:rPr>
      <w:t>業務計畫及預算說明</w:t>
    </w:r>
  </w:p>
  <w:p w:rsidR="006B1066" w:rsidRDefault="0014494F">
    <w:pPr>
      <w:ind w:firstLine="3364"/>
      <w:jc w:val="both"/>
      <w:rPr>
        <w:rFonts w:ascii="標楷體" w:eastAsia="標楷體" w:hAnsi="標楷體"/>
      </w:rPr>
    </w:pPr>
    <w:r>
      <w:rPr>
        <w:rFonts w:ascii="標楷體" w:eastAsia="標楷體" w:hAnsi="標楷體"/>
      </w:rPr>
      <w:t>中華民國</w:t>
    </w:r>
    <w:proofErr w:type="gramStart"/>
    <w:r>
      <w:rPr>
        <w:rFonts w:ascii="標楷體" w:eastAsia="標楷體" w:hAnsi="標楷體"/>
      </w:rPr>
      <w:t>111</w:t>
    </w:r>
    <w:proofErr w:type="gramEnd"/>
    <w:r>
      <w:rPr>
        <w:rFonts w:ascii="標楷體" w:eastAsia="標楷體" w:hAnsi="標楷體"/>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E"/>
    <w:rsid w:val="000B0596"/>
    <w:rsid w:val="0014494F"/>
    <w:rsid w:val="0015433E"/>
    <w:rsid w:val="00167E59"/>
    <w:rsid w:val="00212E21"/>
    <w:rsid w:val="00252219"/>
    <w:rsid w:val="002F0FED"/>
    <w:rsid w:val="00384694"/>
    <w:rsid w:val="003965B2"/>
    <w:rsid w:val="003D3E0C"/>
    <w:rsid w:val="004370ED"/>
    <w:rsid w:val="004A0AF5"/>
    <w:rsid w:val="004F3D02"/>
    <w:rsid w:val="00546D22"/>
    <w:rsid w:val="00587A5A"/>
    <w:rsid w:val="005B1608"/>
    <w:rsid w:val="006C3BF4"/>
    <w:rsid w:val="00887579"/>
    <w:rsid w:val="008D53A1"/>
    <w:rsid w:val="008E26EA"/>
    <w:rsid w:val="008E4332"/>
    <w:rsid w:val="009B0321"/>
    <w:rsid w:val="009F0889"/>
    <w:rsid w:val="00A071BF"/>
    <w:rsid w:val="00AF1F44"/>
    <w:rsid w:val="00B5325B"/>
    <w:rsid w:val="00BB464F"/>
    <w:rsid w:val="00BC71E4"/>
    <w:rsid w:val="00BF1D8B"/>
    <w:rsid w:val="00BF2427"/>
    <w:rsid w:val="00C0288B"/>
    <w:rsid w:val="00C232B2"/>
    <w:rsid w:val="00CA5F6B"/>
    <w:rsid w:val="00CB25D5"/>
    <w:rsid w:val="00D325ED"/>
    <w:rsid w:val="00E87239"/>
    <w:rsid w:val="00F56D4C"/>
    <w:rsid w:val="00F63F3E"/>
    <w:rsid w:val="00F97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225D"/>
  <w15:docId w15:val="{EA01E7B5-05BD-436B-9396-BE31E73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Plain Text"/>
    <w:basedOn w:val="a"/>
    <w:rPr>
      <w:rFonts w:ascii="細明體" w:eastAsia="細明體" w:hAnsi="細明體"/>
      <w:szCs w:val="20"/>
    </w:rPr>
  </w:style>
  <w:style w:type="paragraph" w:styleId="2">
    <w:name w:val="Body Text Indent 2"/>
    <w:basedOn w:val="a"/>
    <w:pPr>
      <w:spacing w:line="520" w:lineRule="exact"/>
      <w:ind w:left="1680" w:hanging="1680"/>
    </w:pPr>
    <w:rPr>
      <w:rFonts w:eastAsia="標楷體"/>
      <w:sz w:val="28"/>
      <w:szCs w:val="28"/>
    </w:rPr>
  </w:style>
  <w:style w:type="paragraph" w:styleId="3">
    <w:name w:val="Body Text Indent 3"/>
    <w:basedOn w:val="a"/>
    <w:pPr>
      <w:spacing w:after="120"/>
      <w:ind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Strong"/>
    <w:rPr>
      <w:b/>
    </w:rPr>
  </w:style>
  <w:style w:type="paragraph" w:styleId="Web">
    <w:name w:val="Normal (Web)"/>
    <w:basedOn w:val="a"/>
    <w:pPr>
      <w:widowControl/>
      <w:spacing w:before="100" w:after="100"/>
    </w:pPr>
    <w:rPr>
      <w:rFonts w:ascii="新細明體" w:hAnsi="新細明體" w:cs="新細明體"/>
      <w:kern w:val="0"/>
    </w:rPr>
  </w:style>
  <w:style w:type="paragraph" w:styleId="a8">
    <w:name w:val="Document Map"/>
    <w:basedOn w:val="a"/>
    <w:pPr>
      <w:shd w:val="clear" w:color="auto" w:fill="000080"/>
    </w:pPr>
    <w:rPr>
      <w:rFonts w:ascii="Arial" w:hAnsi="Arial"/>
    </w:r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Body Text Indent"/>
    <w:basedOn w:val="a"/>
    <w:pPr>
      <w:spacing w:after="120"/>
      <w:ind w:left="480"/>
    </w:pPr>
  </w:style>
  <w:style w:type="paragraph" w:customStyle="1" w:styleId="a00">
    <w:name w:val="a0"/>
    <w:basedOn w:val="a"/>
    <w:pPr>
      <w:widowControl/>
      <w:spacing w:after="100"/>
    </w:pPr>
    <w:rPr>
      <w:rFonts w:ascii="新細明體" w:hAnsi="新細明體" w:cs="新細明體"/>
      <w:kern w:val="0"/>
    </w:rPr>
  </w:style>
  <w:style w:type="paragraph" w:customStyle="1" w:styleId="Default">
    <w:name w:val="Default"/>
    <w:pPr>
      <w:widowControl w:val="0"/>
      <w:suppressAutoHyphens/>
      <w:autoSpaceDE w:val="0"/>
    </w:pPr>
    <w:rPr>
      <w:color w:val="000000"/>
      <w:sz w:val="24"/>
      <w:szCs w:val="24"/>
    </w:rPr>
  </w:style>
  <w:style w:type="character" w:styleId="ac">
    <w:name w:val="annotation reference"/>
    <w:rPr>
      <w:sz w:val="18"/>
      <w:szCs w:val="18"/>
    </w:rPr>
  </w:style>
  <w:style w:type="paragraph" w:styleId="ad">
    <w:name w:val="annotation subject"/>
    <w:basedOn w:val="a3"/>
    <w:next w:val="a3"/>
    <w:rPr>
      <w:b/>
      <w:bCs/>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頁尾 字元"/>
    <w:basedOn w:val="a0"/>
    <w:rPr>
      <w:kern w:val="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NULL" TargetMode="External"/><Relationship Id="rId4" Type="http://schemas.openxmlformats.org/officeDocument/2006/relationships/image" Target="../media/image4.png"/></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5.png"/></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1&#38928;&#31639;\11.&#27861;&#23450;&#38928;&#31639;\111&#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1&#38928;&#31639;\11.&#27861;&#23450;&#38928;&#31639;\111&#32113;&#35336;&#22294;&#34920;.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29141;&#29788;\1.&#38928;&#31639;&#20316;&#26989;\111&#38928;&#31639;\11.&#27861;&#23450;&#38928;&#31639;\111&#32113;&#35336;&#22294;&#34920;.xls"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1&#38928;&#31639;\11.&#27861;&#23450;&#38928;&#31639;\111&#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1&#38928;&#31639;\11.&#27861;&#23450;&#38928;&#31639;\111&#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layoutTarget val="inner"/>
          <c:xMode val="edge"/>
          <c:yMode val="edge"/>
          <c:x val="0"/>
          <c:y val="5.9982862039417308E-2"/>
          <c:w val="1"/>
          <c:h val="0.89902097713364237"/>
        </c:manualLayout>
      </c:layout>
      <c:pie3DChart>
        <c:varyColors val="1"/>
        <c:ser>
          <c:idx val="0"/>
          <c:order val="0"/>
          <c:tx>
            <c:v>數列1</c:v>
          </c:tx>
          <c:explosion val="46"/>
          <c:dPt>
            <c:idx val="0"/>
            <c:bubble3D val="0"/>
            <c:explosion val="0"/>
            <c:spPr>
              <a:blipFill>
                <a:blip xmlns:r="http://schemas.openxmlformats.org/officeDocument/2006/relationships" r:embed="rId1"/>
                <a:tile/>
              </a:blipFill>
              <a:ln>
                <a:noFill/>
              </a:ln>
            </c:spPr>
            <c:pictureOptions>
              <c:pictureFormat val="stack"/>
            </c:pictureOptions>
            <c:extLst>
              <c:ext xmlns:c16="http://schemas.microsoft.com/office/drawing/2014/chart" uri="{C3380CC4-5D6E-409C-BE32-E72D297353CC}">
                <c16:uniqueId val="{00000001-A957-432C-82CC-C3D6999C9AB0}"/>
              </c:ext>
            </c:extLst>
          </c:dPt>
          <c:dPt>
            <c:idx val="1"/>
            <c:bubble3D val="0"/>
            <c:explosion val="42"/>
            <c:spPr>
              <a:blipFill>
                <a:blip xmlns:r="http://schemas.openxmlformats.org/officeDocument/2006/relationships" r:embed="rId2"/>
                <a:tile/>
              </a:blipFill>
              <a:ln>
                <a:noFill/>
              </a:ln>
            </c:spPr>
            <c:pictureOptions>
              <c:pictureFormat val="stack"/>
            </c:pictureOptions>
            <c:extLst>
              <c:ext xmlns:c16="http://schemas.microsoft.com/office/drawing/2014/chart" uri="{C3380CC4-5D6E-409C-BE32-E72D297353CC}">
                <c16:uniqueId val="{00000003-A957-432C-82CC-C3D6999C9AB0}"/>
              </c:ext>
            </c:extLst>
          </c:dPt>
          <c:dPt>
            <c:idx val="2"/>
            <c:bubble3D val="0"/>
            <c:explosion val="30"/>
            <c:spPr>
              <a:blipFill>
                <a:blip xmlns:r="http://schemas.openxmlformats.org/officeDocument/2006/relationships" r:embed="rId3"/>
                <a:tile/>
              </a:blipFill>
              <a:ln>
                <a:noFill/>
              </a:ln>
            </c:spPr>
            <c:pictureOptions>
              <c:pictureFormat val="stack"/>
            </c:pictureOptions>
            <c:extLst>
              <c:ext xmlns:c16="http://schemas.microsoft.com/office/drawing/2014/chart" uri="{C3380CC4-5D6E-409C-BE32-E72D297353CC}">
                <c16:uniqueId val="{00000005-A957-432C-82CC-C3D6999C9AB0}"/>
              </c:ext>
            </c:extLst>
          </c:dPt>
          <c:dPt>
            <c:idx val="3"/>
            <c:bubble3D val="0"/>
            <c:spPr>
              <a:solidFill>
                <a:srgbClr val="FFC000"/>
              </a:solidFill>
              <a:ln>
                <a:noFill/>
              </a:ln>
            </c:spPr>
            <c:extLst>
              <c:ext xmlns:c16="http://schemas.microsoft.com/office/drawing/2014/chart" uri="{C3380CC4-5D6E-409C-BE32-E72D297353CC}">
                <c16:uniqueId val="{00000007-A957-432C-82CC-C3D6999C9AB0}"/>
              </c:ext>
            </c:extLst>
          </c:dPt>
          <c:dPt>
            <c:idx val="4"/>
            <c:bubble3D val="0"/>
            <c:explosion val="21"/>
            <c:spPr>
              <a:blipFill>
                <a:blip xmlns:r="http://schemas.openxmlformats.org/officeDocument/2006/relationships" r:embed="rId4"/>
                <a:tile/>
              </a:blipFill>
              <a:ln>
                <a:noFill/>
              </a:ln>
            </c:spPr>
            <c:pictureOptions>
              <c:pictureFormat val="stack"/>
            </c:pictureOptions>
            <c:extLst>
              <c:ext xmlns:c16="http://schemas.microsoft.com/office/drawing/2014/chart" uri="{C3380CC4-5D6E-409C-BE32-E72D297353CC}">
                <c16:uniqueId val="{00000009-A957-432C-82CC-C3D6999C9AB0}"/>
              </c:ext>
            </c:extLst>
          </c:dPt>
          <c:dLbls>
            <c:dLbl>
              <c:idx val="0"/>
              <c:layout>
                <c:manualLayout>
                  <c:x val="-1.6512655242753138E-2"/>
                  <c:y val="-6.30461038128588E-3"/>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A957-432C-82CC-C3D6999C9AB0}"/>
                </c:ext>
              </c:extLst>
            </c:dLbl>
            <c:dLbl>
              <c:idx val="1"/>
              <c:layout>
                <c:manualLayout>
                  <c:x val="0.19450707171120762"/>
                  <c:y val="-6.438644076945399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957-432C-82CC-C3D6999C9AB0}"/>
                </c:ext>
              </c:extLst>
            </c:dLbl>
            <c:dLbl>
              <c:idx val="2"/>
              <c:layout>
                <c:manualLayout>
                  <c:x val="3.6241302722416172E-2"/>
                  <c:y val="0.24700591731946098"/>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A957-432C-82CC-C3D6999C9AB0}"/>
                </c:ext>
              </c:extLst>
            </c:dLbl>
            <c:dLbl>
              <c:idx val="3"/>
              <c:layout>
                <c:manualLayout>
                  <c:x val="1.9836185924657038E-2"/>
                  <c:y val="-7.4971155597838207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A957-432C-82CC-C3D6999C9AB0}"/>
                </c:ext>
              </c:extLst>
            </c:dLbl>
            <c:dLbl>
              <c:idx val="4"/>
              <c:layout>
                <c:manualLayout>
                  <c:x val="-5.6097641521017011E-2"/>
                  <c:y val="-9.4796199960866093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A957-432C-82CC-C3D6999C9AB0}"/>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土地改良物                  </c:v>
              </c:pt>
              <c:pt idx="1">
                <c:v>房屋及建築                  </c:v>
              </c:pt>
              <c:pt idx="2">
                <c:v>機械及設備                  </c:v>
              </c:pt>
              <c:pt idx="3">
                <c:v>交通及運輸設備              </c:v>
              </c:pt>
              <c:pt idx="4">
                <c:v>什項設備                    </c:v>
              </c:pt>
            </c:strLit>
          </c:cat>
          <c:val>
            <c:numLit>
              <c:formatCode>General</c:formatCode>
              <c:ptCount val="5"/>
              <c:pt idx="0">
                <c:v>26510</c:v>
              </c:pt>
              <c:pt idx="1">
                <c:v>20889</c:v>
              </c:pt>
              <c:pt idx="2">
                <c:v>12120</c:v>
              </c:pt>
              <c:pt idx="3">
                <c:v>1164</c:v>
              </c:pt>
              <c:pt idx="4">
                <c:v>18218</c:v>
              </c:pt>
            </c:numLit>
          </c:val>
          <c:extLst>
            <c:ext xmlns:c16="http://schemas.microsoft.com/office/drawing/2014/chart" uri="{C3380CC4-5D6E-409C-BE32-E72D297353CC}">
              <c16:uniqueId val="{0000000A-A957-432C-82CC-C3D6999C9AB0}"/>
            </c:ext>
          </c:extLst>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0"/>
          <c:y val="0"/>
          <c:w val="0.96743061312953205"/>
          <c:h val="0.89676991059711297"/>
        </c:manualLayout>
      </c:layout>
      <c:pie3DChart>
        <c:varyColors val="1"/>
        <c:ser>
          <c:idx val="0"/>
          <c:order val="0"/>
          <c:tx>
            <c:v>數列1</c:v>
          </c:tx>
          <c:dPt>
            <c:idx val="0"/>
            <c:bubble3D val="0"/>
            <c:spPr>
              <a:solidFill>
                <a:srgbClr val="F8CBAD"/>
              </a:solidFill>
              <a:ln>
                <a:noFill/>
              </a:ln>
            </c:spPr>
            <c:extLst>
              <c:ext xmlns:c16="http://schemas.microsoft.com/office/drawing/2014/chart" uri="{C3380CC4-5D6E-409C-BE32-E72D297353CC}">
                <c16:uniqueId val="{00000001-34E9-40F3-8B82-F380A93463D8}"/>
              </c:ext>
            </c:extLst>
          </c:dPt>
          <c:dPt>
            <c:idx val="1"/>
            <c:bubble3D val="0"/>
            <c:explosion val="14"/>
            <c:spPr>
              <a:blipFill>
                <a:blip xmlns:r="http://schemas.openxmlformats.org/officeDocument/2006/relationships" r:embed="rId1"/>
                <a:tile/>
              </a:blipFill>
              <a:ln>
                <a:noFill/>
              </a:ln>
            </c:spPr>
            <c:pictureOptions>
              <c:pictureFormat val="stack"/>
            </c:pictureOptions>
            <c:extLst>
              <c:ext xmlns:c16="http://schemas.microsoft.com/office/drawing/2014/chart" uri="{C3380CC4-5D6E-409C-BE32-E72D297353CC}">
                <c16:uniqueId val="{00000003-34E9-40F3-8B82-F380A93463D8}"/>
              </c:ext>
            </c:extLst>
          </c:dPt>
          <c:dLbls>
            <c:dLbl>
              <c:idx val="0"/>
              <c:layout>
                <c:manualLayout>
                  <c:x val="2.199371257107019E-2"/>
                  <c:y val="-0.2069001569562993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34E9-40F3-8B82-F380A93463D8}"/>
                </c:ext>
              </c:extLst>
            </c:dLbl>
            <c:dLbl>
              <c:idx val="1"/>
              <c:layout>
                <c:manualLayout>
                  <c:x val="9.2919277661109995E-3"/>
                  <c:y val="8.7021847765608729E-4"/>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4E9-40F3-8B82-F380A93463D8}"/>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營運資金                    </c:v>
              </c:pt>
              <c:pt idx="1">
                <c:v>國庫撥款                    </c:v>
              </c:pt>
            </c:strLit>
          </c:cat>
          <c:val>
            <c:numLit>
              <c:formatCode>General</c:formatCode>
              <c:ptCount val="2"/>
              <c:pt idx="0">
                <c:v>42770</c:v>
              </c:pt>
              <c:pt idx="1">
                <c:v>36131</c:v>
              </c:pt>
            </c:numLit>
          </c:val>
          <c:extLst>
            <c:ext xmlns:c16="http://schemas.microsoft.com/office/drawing/2014/chart" uri="{C3380CC4-5D6E-409C-BE32-E72D297353CC}">
              <c16:uniqueId val="{00000004-34E9-40F3-8B82-F380A93463D8}"/>
            </c:ext>
          </c:extLst>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993805157038425E-2"/>
          <c:y val="0.10419953387520488"/>
          <c:w val="0.94362878076905277"/>
          <c:h val="0.78534723827233899"/>
        </c:manualLayout>
      </c:layout>
      <c:pie3DChart>
        <c:varyColors val="1"/>
        <c:ser>
          <c:idx val="0"/>
          <c:order val="0"/>
          <c:spPr>
            <a:solidFill>
              <a:srgbClr val="33CCCC"/>
            </a:solidFill>
            <a:ln w="25400">
              <a:noFill/>
            </a:ln>
          </c:spPr>
          <c:explosion val="25"/>
          <c:dPt>
            <c:idx val="0"/>
            <c:bubble3D val="0"/>
            <c:explosion val="15"/>
            <c:spPr>
              <a:pattFill prst="pct80">
                <a:fgClr>
                  <a:srgbClr val="33CCCC"/>
                </a:fgClr>
                <a:bgClr>
                  <a:schemeClr val="bg1"/>
                </a:bgClr>
              </a:pattFill>
              <a:ln w="25400">
                <a:noFill/>
              </a:ln>
            </c:spPr>
            <c:extLst>
              <c:ext xmlns:c16="http://schemas.microsoft.com/office/drawing/2014/chart" uri="{C3380CC4-5D6E-409C-BE32-E72D297353CC}">
                <c16:uniqueId val="{00000001-B0F2-49ED-A52D-423F09C2D696}"/>
              </c:ext>
            </c:extLst>
          </c:dPt>
          <c:dPt>
            <c:idx val="1"/>
            <c:bubble3D val="0"/>
            <c:spPr>
              <a:solidFill>
                <a:srgbClr val="FF6600"/>
              </a:solidFill>
              <a:ln w="25400">
                <a:noFill/>
              </a:ln>
            </c:spPr>
            <c:extLst>
              <c:ext xmlns:c16="http://schemas.microsoft.com/office/drawing/2014/chart" uri="{C3380CC4-5D6E-409C-BE32-E72D297353CC}">
                <c16:uniqueId val="{00000003-B0F2-49ED-A52D-423F09C2D696}"/>
              </c:ext>
            </c:extLst>
          </c:dPt>
          <c:dPt>
            <c:idx val="2"/>
            <c:bubble3D val="0"/>
            <c:spPr>
              <a:solidFill>
                <a:srgbClr val="969696"/>
              </a:solidFill>
              <a:ln w="25400">
                <a:noFill/>
              </a:ln>
            </c:spPr>
            <c:extLst>
              <c:ext xmlns:c16="http://schemas.microsoft.com/office/drawing/2014/chart" uri="{C3380CC4-5D6E-409C-BE32-E72D297353CC}">
                <c16:uniqueId val="{00000005-B0F2-49ED-A52D-423F09C2D696}"/>
              </c:ext>
            </c:extLst>
          </c:dPt>
          <c:dPt>
            <c:idx val="3"/>
            <c:bubble3D val="0"/>
            <c:spPr>
              <a:pattFill prst="wdUpDiag">
                <a:fgClr>
                  <a:srgbClr val="00B0F0"/>
                </a:fgClr>
                <a:bgClr>
                  <a:schemeClr val="bg1"/>
                </a:bgClr>
              </a:pattFill>
              <a:ln w="25400">
                <a:noFill/>
              </a:ln>
            </c:spPr>
            <c:extLst>
              <c:ext xmlns:c16="http://schemas.microsoft.com/office/drawing/2014/chart" uri="{C3380CC4-5D6E-409C-BE32-E72D297353CC}">
                <c16:uniqueId val="{00000007-B0F2-49ED-A52D-423F09C2D696}"/>
              </c:ext>
            </c:extLst>
          </c:dPt>
          <c:dPt>
            <c:idx val="4"/>
            <c:bubble3D val="0"/>
            <c:spPr>
              <a:solidFill>
                <a:srgbClr val="0066CC"/>
              </a:solidFill>
              <a:ln w="25400">
                <a:noFill/>
              </a:ln>
            </c:spPr>
            <c:extLst>
              <c:ext xmlns:c16="http://schemas.microsoft.com/office/drawing/2014/chart" uri="{C3380CC4-5D6E-409C-BE32-E72D297353CC}">
                <c16:uniqueId val="{00000009-B0F2-49ED-A52D-423F09C2D696}"/>
              </c:ext>
            </c:extLst>
          </c:dPt>
          <c:dLbls>
            <c:dLbl>
              <c:idx val="0"/>
              <c:layout>
                <c:manualLayout>
                  <c:x val="-4.275788348476907E-3"/>
                  <c:y val="-5.82567779520502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F2-49ED-A52D-423F09C2D696}"/>
                </c:ext>
              </c:extLst>
            </c:dLbl>
            <c:dLbl>
              <c:idx val="1"/>
              <c:layout>
                <c:manualLayout>
                  <c:x val="-1.6034122137725836E-2"/>
                  <c:y val="0.1209948465157966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041154462854088"/>
                      <c:h val="0.2231682724624692"/>
                    </c:manualLayout>
                  </c15:layout>
                </c:ext>
                <c:ext xmlns:c16="http://schemas.microsoft.com/office/drawing/2014/chart" uri="{C3380CC4-5D6E-409C-BE32-E72D297353CC}">
                  <c16:uniqueId val="{00000003-B0F2-49ED-A52D-423F09C2D696}"/>
                </c:ext>
              </c:extLst>
            </c:dLbl>
            <c:dLbl>
              <c:idx val="2"/>
              <c:layout>
                <c:manualLayout>
                  <c:x val="-0.15179048637092465"/>
                  <c:y val="-1.7925162446784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0F2-49ED-A52D-423F09C2D696}"/>
                </c:ext>
              </c:extLst>
            </c:dLbl>
            <c:dLbl>
              <c:idx val="3"/>
              <c:layout>
                <c:manualLayout>
                  <c:x val="-3.6344200962052389E-2"/>
                  <c:y val="-2.24064530584808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0F2-49ED-A52D-423F09C2D696}"/>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sheet2!$A$8:$A$12</c:f>
              <c:strCache>
                <c:ptCount val="5"/>
                <c:pt idx="0">
                  <c:v>教學收入                    </c:v>
                </c:pt>
                <c:pt idx="1">
                  <c:v>租金及權利金收入            </c:v>
                </c:pt>
                <c:pt idx="2">
                  <c:v>其他業務收入                </c:v>
                </c:pt>
                <c:pt idx="3">
                  <c:v>業務外收入                    </c:v>
                </c:pt>
                <c:pt idx="4">
                  <c:v>本期短絀                      </c:v>
                </c:pt>
              </c:strCache>
            </c:strRef>
          </c:cat>
          <c:val>
            <c:numRef>
              <c:f>sheet2!$B$8:$B$12</c:f>
              <c:numCache>
                <c:formatCode>General</c:formatCode>
                <c:ptCount val="5"/>
                <c:pt idx="0">
                  <c:v>192227</c:v>
                </c:pt>
                <c:pt idx="1">
                  <c:v>38</c:v>
                </c:pt>
                <c:pt idx="2">
                  <c:v>426425</c:v>
                </c:pt>
                <c:pt idx="3">
                  <c:v>87191</c:v>
                </c:pt>
                <c:pt idx="4">
                  <c:v>28901</c:v>
                </c:pt>
              </c:numCache>
            </c:numRef>
          </c:val>
          <c:extLst>
            <c:ext xmlns:c16="http://schemas.microsoft.com/office/drawing/2014/chart" uri="{C3380CC4-5D6E-409C-BE32-E72D297353CC}">
              <c16:uniqueId val="{0000000A-B0F2-49ED-A52D-423F09C2D696}"/>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69600239040136"/>
          <c:y val="0.164261579978559"/>
          <c:w val="0.8930399760959864"/>
          <c:h val="0.75472034305570945"/>
        </c:manualLayout>
      </c:layout>
      <c:pie3DChart>
        <c:varyColors val="1"/>
        <c:ser>
          <c:idx val="0"/>
          <c:order val="0"/>
          <c:spPr>
            <a:solidFill>
              <a:srgbClr val="33CCCC"/>
            </a:solidFill>
            <a:ln w="25400">
              <a:noFill/>
            </a:ln>
          </c:spPr>
          <c:explosion val="14"/>
          <c:dPt>
            <c:idx val="0"/>
            <c:bubble3D val="0"/>
            <c:explosion val="0"/>
            <c:extLst>
              <c:ext xmlns:c16="http://schemas.microsoft.com/office/drawing/2014/chart" uri="{C3380CC4-5D6E-409C-BE32-E72D297353CC}">
                <c16:uniqueId val="{00000001-7A1B-4ACD-9905-5114184A3A29}"/>
              </c:ext>
            </c:extLst>
          </c:dPt>
          <c:dPt>
            <c:idx val="1"/>
            <c:bubble3D val="0"/>
            <c:spPr>
              <a:solidFill>
                <a:srgbClr val="FF6600"/>
              </a:solidFill>
              <a:ln w="25400">
                <a:noFill/>
              </a:ln>
            </c:spPr>
            <c:extLst>
              <c:ext xmlns:c16="http://schemas.microsoft.com/office/drawing/2014/chart" uri="{C3380CC4-5D6E-409C-BE32-E72D297353CC}">
                <c16:uniqueId val="{00000003-7A1B-4ACD-9905-5114184A3A29}"/>
              </c:ext>
            </c:extLst>
          </c:dPt>
          <c:dPt>
            <c:idx val="2"/>
            <c:bubble3D val="0"/>
            <c:spPr>
              <a:pattFill prst="pct75">
                <a:fgClr>
                  <a:srgbClr val="969696"/>
                </a:fgClr>
                <a:bgClr>
                  <a:schemeClr val="bg1"/>
                </a:bgClr>
              </a:pattFill>
              <a:ln w="25400">
                <a:noFill/>
              </a:ln>
            </c:spPr>
            <c:extLst>
              <c:ext xmlns:c16="http://schemas.microsoft.com/office/drawing/2014/chart" uri="{C3380CC4-5D6E-409C-BE32-E72D297353CC}">
                <c16:uniqueId val="{00000005-7A1B-4ACD-9905-5114184A3A29}"/>
              </c:ext>
            </c:extLst>
          </c:dPt>
          <c:dPt>
            <c:idx val="3"/>
            <c:bubble3D val="0"/>
            <c:spPr>
              <a:solidFill>
                <a:srgbClr val="FFCC00"/>
              </a:solidFill>
              <a:ln w="25400">
                <a:noFill/>
              </a:ln>
            </c:spPr>
            <c:extLst>
              <c:ext xmlns:c16="http://schemas.microsoft.com/office/drawing/2014/chart" uri="{C3380CC4-5D6E-409C-BE32-E72D297353CC}">
                <c16:uniqueId val="{00000007-7A1B-4ACD-9905-5114184A3A29}"/>
              </c:ext>
            </c:extLst>
          </c:dPt>
          <c:dPt>
            <c:idx val="4"/>
            <c:bubble3D val="0"/>
            <c:spPr>
              <a:pattFill prst="dkDnDiag">
                <a:fgClr>
                  <a:srgbClr val="0066CC"/>
                </a:fgClr>
                <a:bgClr>
                  <a:schemeClr val="bg1"/>
                </a:bgClr>
              </a:pattFill>
              <a:ln w="25400">
                <a:noFill/>
              </a:ln>
            </c:spPr>
            <c:extLst>
              <c:ext xmlns:c16="http://schemas.microsoft.com/office/drawing/2014/chart" uri="{C3380CC4-5D6E-409C-BE32-E72D297353CC}">
                <c16:uniqueId val="{00000009-7A1B-4ACD-9905-5114184A3A29}"/>
              </c:ext>
            </c:extLst>
          </c:dPt>
          <c:dLbls>
            <c:dLbl>
              <c:idx val="0"/>
              <c:layout>
                <c:manualLayout>
                  <c:x val="-6.8412613575628001E-2"/>
                  <c:y val="-0.533273582791844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1B-4ACD-9905-5114184A3A29}"/>
                </c:ext>
              </c:extLst>
            </c:dLbl>
            <c:dLbl>
              <c:idx val="1"/>
              <c:layout>
                <c:manualLayout>
                  <c:x val="2.1379025911445741E-2"/>
                  <c:y val="9.4107023452675631E-2"/>
                </c:manualLayout>
              </c:layout>
              <c:numFmt formatCode="0.00%" sourceLinked="0"/>
              <c:spPr>
                <a:noFill/>
                <a:ln w="25400">
                  <a:noFill/>
                </a:ln>
              </c:spPr>
              <c:txPr>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6889363976483165"/>
                      <c:h val="0.22496062992125984"/>
                    </c:manualLayout>
                  </c15:layout>
                </c:ext>
                <c:ext xmlns:c16="http://schemas.microsoft.com/office/drawing/2014/chart" uri="{C3380CC4-5D6E-409C-BE32-E72D297353CC}">
                  <c16:uniqueId val="{00000003-7A1B-4ACD-9905-5114184A3A29}"/>
                </c:ext>
              </c:extLst>
            </c:dLbl>
            <c:dLbl>
              <c:idx val="2"/>
              <c:layout>
                <c:manualLayout>
                  <c:x val="2.137894174238375E-3"/>
                  <c:y val="1.5684559881425929E-2"/>
                </c:manualLayout>
              </c:layout>
              <c:numFmt formatCode="0.00%" sourceLinked="0"/>
              <c:spPr>
                <a:noFill/>
                <a:ln w="25400">
                  <a:noFill/>
                </a:ln>
              </c:spPr>
              <c:txPr>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19668626402993053"/>
                      <c:h val="0.22944216479982252"/>
                    </c:manualLayout>
                  </c15:layout>
                </c:ext>
                <c:ext xmlns:c16="http://schemas.microsoft.com/office/drawing/2014/chart" uri="{C3380CC4-5D6E-409C-BE32-E72D297353CC}">
                  <c16:uniqueId val="{00000005-7A1B-4ACD-9905-5114184A3A29}"/>
                </c:ext>
              </c:extLst>
            </c:dLbl>
            <c:dLbl>
              <c:idx val="3"/>
              <c:layout>
                <c:manualLayout>
                  <c:x val="1.2827365045430231E-2"/>
                  <c:y val="-2.2406453058480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A1B-4ACD-9905-5114184A3A29}"/>
                </c:ext>
              </c:extLst>
            </c:dLbl>
            <c:dLbl>
              <c:idx val="4"/>
              <c:layout>
                <c:manualLayout>
                  <c:x val="4.9171566007482549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A1B-4ACD-9905-5114184A3A29}"/>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General</c:formatCode>
                <c:ptCount val="5"/>
                <c:pt idx="0">
                  <c:v>511890</c:v>
                </c:pt>
                <c:pt idx="1">
                  <c:v>18351</c:v>
                </c:pt>
                <c:pt idx="2">
                  <c:v>131792</c:v>
                </c:pt>
                <c:pt idx="3">
                  <c:v>2158</c:v>
                </c:pt>
                <c:pt idx="4">
                  <c:v>70571</c:v>
                </c:pt>
              </c:numCache>
            </c:numRef>
          </c:val>
          <c:extLst>
            <c:ext xmlns:c16="http://schemas.microsoft.com/office/drawing/2014/chart" uri="{C3380CC4-5D6E-409C-BE32-E72D297353CC}">
              <c16:uniqueId val="{0000000A-7A1B-4ACD-9905-5114184A3A29}"/>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73532352993901"/>
          <c:y val="3.2401596851602647E-2"/>
          <c:w val="0.65812859066977669"/>
          <c:h val="0.84980551742612409"/>
        </c:manualLayout>
      </c:layout>
      <c:barChart>
        <c:barDir val="col"/>
        <c:grouping val="clustered"/>
        <c:varyColors val="0"/>
        <c:ser>
          <c:idx val="0"/>
          <c:order val="0"/>
          <c:tx>
            <c:strRef>
              <c:f>sheet2!$A$19</c:f>
              <c:strCache>
                <c:ptCount val="1"/>
                <c:pt idx="0">
                  <c:v>收入合計</c:v>
                </c:pt>
              </c:strCache>
            </c:strRef>
          </c:tx>
          <c:spPr>
            <a:solidFill>
              <a:schemeClr val="accent1"/>
            </a:solidFill>
            <a:ln>
              <a:noFill/>
            </a:ln>
            <a:effectLst/>
          </c:spPr>
          <c:invertIfNegative val="0"/>
          <c:cat>
            <c:strRef>
              <c:f>sheet2!$B$18:$F$18</c:f>
              <c:strCache>
                <c:ptCount val="5"/>
                <c:pt idx="0">
                  <c:v>107</c:v>
                </c:pt>
                <c:pt idx="1">
                  <c:v>108</c:v>
                </c:pt>
                <c:pt idx="2">
                  <c:v>109</c:v>
                </c:pt>
                <c:pt idx="3">
                  <c:v>110</c:v>
                </c:pt>
                <c:pt idx="4">
                  <c:v>111</c:v>
                </c:pt>
              </c:strCache>
            </c:strRef>
          </c:cat>
          <c:val>
            <c:numRef>
              <c:f>sheet2!$B$19:$F$19</c:f>
              <c:numCache>
                <c:formatCode>General</c:formatCode>
                <c:ptCount val="5"/>
                <c:pt idx="0">
                  <c:v>773493</c:v>
                </c:pt>
                <c:pt idx="1">
                  <c:v>741518</c:v>
                </c:pt>
                <c:pt idx="2">
                  <c:v>724513</c:v>
                </c:pt>
                <c:pt idx="3">
                  <c:v>681257</c:v>
                </c:pt>
                <c:pt idx="4">
                  <c:v>697568</c:v>
                </c:pt>
              </c:numCache>
            </c:numRef>
          </c:val>
          <c:extLst>
            <c:ext xmlns:c16="http://schemas.microsoft.com/office/drawing/2014/chart" uri="{C3380CC4-5D6E-409C-BE32-E72D297353CC}">
              <c16:uniqueId val="{00000000-BD27-46A5-8980-5B7AC603AAF7}"/>
            </c:ext>
          </c:extLst>
        </c:ser>
        <c:ser>
          <c:idx val="1"/>
          <c:order val="1"/>
          <c:tx>
            <c:strRef>
              <c:f>sheet2!$A$20</c:f>
              <c:strCache>
                <c:ptCount val="1"/>
                <c:pt idx="0">
                  <c:v>費用合計</c:v>
                </c:pt>
              </c:strCache>
            </c:strRef>
          </c:tx>
          <c:spPr>
            <a:pattFill prst="ltDnDiag">
              <a:fgClr>
                <a:srgbClr val="000000"/>
              </a:fgClr>
              <a:bgClr>
                <a:schemeClr val="bg1"/>
              </a:bgClr>
            </a:pattFill>
            <a:ln>
              <a:solidFill>
                <a:schemeClr val="bg1"/>
              </a:solidFill>
            </a:ln>
            <a:effectLst/>
          </c:spPr>
          <c:invertIfNegative val="0"/>
          <c:cat>
            <c:strRef>
              <c:f>sheet2!$B$18:$F$18</c:f>
              <c:strCache>
                <c:ptCount val="5"/>
                <c:pt idx="0">
                  <c:v>107</c:v>
                </c:pt>
                <c:pt idx="1">
                  <c:v>108</c:v>
                </c:pt>
                <c:pt idx="2">
                  <c:v>109</c:v>
                </c:pt>
                <c:pt idx="3">
                  <c:v>110</c:v>
                </c:pt>
                <c:pt idx="4">
                  <c:v>111</c:v>
                </c:pt>
              </c:strCache>
            </c:strRef>
          </c:cat>
          <c:val>
            <c:numRef>
              <c:f>sheet2!$B$20:$F$20</c:f>
              <c:numCache>
                <c:formatCode>General</c:formatCode>
                <c:ptCount val="5"/>
                <c:pt idx="0">
                  <c:v>710859</c:v>
                </c:pt>
                <c:pt idx="1">
                  <c:v>762872</c:v>
                </c:pt>
                <c:pt idx="2">
                  <c:v>745874</c:v>
                </c:pt>
                <c:pt idx="3">
                  <c:v>710935</c:v>
                </c:pt>
                <c:pt idx="4">
                  <c:v>726469</c:v>
                </c:pt>
              </c:numCache>
            </c:numRef>
          </c:val>
          <c:extLst>
            <c:ext xmlns:c16="http://schemas.microsoft.com/office/drawing/2014/chart" uri="{C3380CC4-5D6E-409C-BE32-E72D297353CC}">
              <c16:uniqueId val="{00000001-BD27-46A5-8980-5B7AC603AAF7}"/>
            </c:ext>
          </c:extLst>
        </c:ser>
        <c:dLbls>
          <c:showLegendKey val="0"/>
          <c:showVal val="0"/>
          <c:showCatName val="0"/>
          <c:showSerName val="0"/>
          <c:showPercent val="0"/>
          <c:showBubbleSize val="0"/>
        </c:dLbls>
        <c:gapWidth val="150"/>
        <c:axId val="985451744"/>
        <c:axId val="1"/>
      </c:barChart>
      <c:catAx>
        <c:axId val="98545174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
        <c:crosses val="autoZero"/>
        <c:auto val="0"/>
        <c:lblAlgn val="ctr"/>
        <c:lblOffset val="100"/>
        <c:noMultiLvlLbl val="1"/>
      </c:catAx>
      <c:valAx>
        <c:axId val="1"/>
        <c:scaling>
          <c:orientation val="minMax"/>
          <c:min val="660000"/>
        </c:scaling>
        <c:delete val="0"/>
        <c:axPos val="l"/>
        <c:majorGridlines>
          <c:spPr>
            <a:ln w="9525" cap="flat" cmpd="sng" algn="ctr">
              <a:solidFill>
                <a:schemeClr val="bg2">
                  <a:lumMod val="90000"/>
                </a:schemeClr>
              </a:solidFill>
              <a:round/>
            </a:ln>
            <a:effectLst/>
          </c:spPr>
        </c:majorGridlines>
        <c:numFmt formatCode="#,##0_);[Red]\(#,##0\)" sourceLinked="0"/>
        <c:majorTickMark val="none"/>
        <c:minorTickMark val="none"/>
        <c:tickLblPos val="nextTo"/>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985451744"/>
        <c:crosses val="autoZero"/>
        <c:crossBetween val="between"/>
      </c:valAx>
      <c:spPr>
        <a:noFill/>
        <a:ln>
          <a:noFill/>
        </a:ln>
        <a:effectLst/>
      </c:spPr>
    </c:plotArea>
    <c:legend>
      <c:legendPos val="b"/>
      <c:layout>
        <c:manualLayout>
          <c:xMode val="edge"/>
          <c:yMode val="edge"/>
          <c:x val="0.81521103288064412"/>
          <c:y val="0.4760484622553588"/>
          <c:w val="0.1819775521111705"/>
          <c:h val="0.1278657968313140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40947220322986105"/>
          <c:y val="2.266361315916183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8380817779973397E-2"/>
          <c:y val="0.19264071185287557"/>
          <c:w val="0.84326948783971378"/>
          <c:h val="0.70257200793401675"/>
        </c:manualLayout>
      </c:layout>
      <c:pie3DChart>
        <c:varyColors val="1"/>
        <c:ser>
          <c:idx val="0"/>
          <c:order val="0"/>
          <c:spPr>
            <a:solidFill>
              <a:srgbClr val="33CCCC"/>
            </a:solidFill>
            <a:ln w="25400">
              <a:noFill/>
            </a:ln>
          </c:spPr>
          <c:dPt>
            <c:idx val="0"/>
            <c:bubble3D val="0"/>
            <c:explosion val="9"/>
            <c:extLst>
              <c:ext xmlns:c16="http://schemas.microsoft.com/office/drawing/2014/chart" uri="{C3380CC4-5D6E-409C-BE32-E72D297353CC}">
                <c16:uniqueId val="{00000001-D881-4C09-B76B-7BD23D43D4C3}"/>
              </c:ext>
            </c:extLst>
          </c:dPt>
          <c:dPt>
            <c:idx val="1"/>
            <c:bubble3D val="0"/>
            <c:spPr>
              <a:solidFill>
                <a:srgbClr val="FF6600"/>
              </a:solidFill>
              <a:ln w="25400">
                <a:noFill/>
              </a:ln>
            </c:spPr>
            <c:extLst>
              <c:ext xmlns:c16="http://schemas.microsoft.com/office/drawing/2014/chart" uri="{C3380CC4-5D6E-409C-BE32-E72D297353CC}">
                <c16:uniqueId val="{00000003-D881-4C09-B76B-7BD23D43D4C3}"/>
              </c:ext>
            </c:extLst>
          </c:dPt>
          <c:dLbls>
            <c:dLbl>
              <c:idx val="0"/>
              <c:layout>
                <c:manualLayout>
                  <c:x val="-7.0270270270270274E-2"/>
                  <c:y val="-0.20018885741265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81-4C09-B76B-7BD23D43D4C3}"/>
                </c:ext>
              </c:extLst>
            </c:dLbl>
            <c:dLbl>
              <c:idx val="1"/>
              <c:tx>
                <c:rich>
                  <a:bodyPr/>
                  <a:lstStyle/>
                  <a:p>
                    <a:fld id="{2EA62C69-CFFB-47B7-96FB-EC8B69176333}" type="CATEGORYNAME">
                      <a:rPr lang="zh-TW" altLang="en-US"/>
                      <a:pPr/>
                      <a:t>[類別名稱]</a:t>
                    </a:fld>
                    <a:r>
                      <a:rPr lang="zh-TW" altLang="en-US" baseline="0"/>
                      <a:t>
</a:t>
                    </a:r>
                    <a:fld id="{A5DC26CF-5003-4BA0-A12D-77E4EE9B8A61}" type="PERCENTAGE">
                      <a:rPr lang="en-US" altLang="zh-TW" baseline="0"/>
                      <a:pPr/>
                      <a:t>[百分比]</a:t>
                    </a:fld>
                    <a:endParaRPr lang="zh-TW" alt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81-4C09-B76B-7BD23D43D4C3}"/>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sheet2!$A$21:$A$22</c:f>
              <c:strCache>
                <c:ptCount val="2"/>
                <c:pt idx="0">
                  <c:v>填補累積短絀                  </c:v>
                </c:pt>
                <c:pt idx="1">
                  <c:v>未分配賸餘                    </c:v>
                </c:pt>
              </c:strCache>
            </c:strRef>
          </c:cat>
          <c:val>
            <c:numRef>
              <c:f>sheet2!$B$21:$B$22</c:f>
              <c:numCache>
                <c:formatCode>General</c:formatCode>
                <c:ptCount val="2"/>
                <c:pt idx="0">
                  <c:v>28901</c:v>
                </c:pt>
                <c:pt idx="1">
                  <c:v>31864</c:v>
                </c:pt>
              </c:numCache>
            </c:numRef>
          </c:val>
          <c:extLst>
            <c:ext xmlns:c16="http://schemas.microsoft.com/office/drawing/2014/chart" uri="{C3380CC4-5D6E-409C-BE32-E72D297353CC}">
              <c16:uniqueId val="{00000004-D881-4C09-B76B-7BD23D43D4C3}"/>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1" i="0" u="sng" strike="noStrike" kern="1200" baseline="0">
                <a:solidFill>
                  <a:srgbClr val="000000"/>
                </a:solidFill>
                <a:latin typeface="標楷體"/>
                <a:ea typeface="標楷體"/>
                <a:cs typeface="標楷體"/>
              </a:defRPr>
            </a:pPr>
            <a:r>
              <a:rPr lang="zh-TW" altLang="en-US" sz="1400" b="1" i="0" u="sng" strike="noStrike" kern="1200" cap="none" spc="0" baseline="0">
                <a:solidFill>
                  <a:srgbClr val="000000"/>
                </a:solidFill>
                <a:uFillTx/>
                <a:latin typeface="標楷體"/>
                <a:ea typeface="標楷體"/>
                <a:cs typeface="標楷體"/>
              </a:rPr>
              <a:t>按所得對象分</a:t>
            </a:r>
          </a:p>
        </c:rich>
      </c:tx>
      <c:layout>
        <c:manualLayout>
          <c:xMode val="edge"/>
          <c:yMode val="edge"/>
          <c:x val="0.39941216327114643"/>
          <c:y val="2.3054759351094405E-2"/>
        </c:manualLayout>
      </c:layout>
      <c:overlay val="0"/>
      <c:spPr>
        <a:noFill/>
        <a:ln>
          <a:noFill/>
        </a:ln>
      </c:spPr>
    </c:title>
    <c:autoTitleDeleted val="0"/>
    <c:view3D>
      <c:rotX val="10"/>
      <c:rotY val="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8.8362196307503249E-2"/>
          <c:y val="0.14258919462309738"/>
          <c:w val="0.83185866331112668"/>
          <c:h val="0.63114403058421675"/>
        </c:manualLayout>
      </c:layout>
      <c:pie3DChart>
        <c:varyColors val="1"/>
        <c:ser>
          <c:idx val="0"/>
          <c:order val="0"/>
          <c:tx>
            <c:v>數列1</c:v>
          </c:tx>
          <c:explosion val="25"/>
          <c:dPt>
            <c:idx val="0"/>
            <c:bubble3D val="0"/>
            <c:spPr>
              <a:solidFill>
                <a:srgbClr val="33CCCC"/>
              </a:solidFill>
              <a:ln>
                <a:noFill/>
              </a:ln>
            </c:spPr>
            <c:extLst>
              <c:ext xmlns:c16="http://schemas.microsoft.com/office/drawing/2014/chart" uri="{C3380CC4-5D6E-409C-BE32-E72D297353CC}">
                <c16:uniqueId val="{00000001-B643-4793-82EA-93BFAB101D3B}"/>
              </c:ext>
            </c:extLst>
          </c:dPt>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
              <c:pt idx="0">
                <c:v>留存非營業基金                </c:v>
              </c:pt>
            </c:strLit>
          </c:cat>
          <c:val>
            <c:numLit>
              <c:formatCode>General</c:formatCode>
              <c:ptCount val="1"/>
              <c:pt idx="0">
                <c:v>37584</c:v>
              </c:pt>
            </c:numLit>
          </c:val>
          <c:extLst>
            <c:ext xmlns:c16="http://schemas.microsoft.com/office/drawing/2014/chart" uri="{C3380CC4-5D6E-409C-BE32-E72D297353CC}">
              <c16:uniqueId val="{00000002-B643-4793-82EA-93BFAB101D3B}"/>
            </c:ext>
          </c:extLst>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3989621954658124"/>
          <c:y val="2.945509315995333E-2"/>
          <c:w val="0.77464205002167352"/>
          <c:h val="0.92416416552311198"/>
        </c:manualLayout>
      </c:layout>
      <c:bar3DChart>
        <c:barDir val="col"/>
        <c:grouping val="stacked"/>
        <c:varyColors val="0"/>
        <c:ser>
          <c:idx val="0"/>
          <c:order val="0"/>
          <c:tx>
            <c:strRef>
              <c:f>sheet2!$A$25</c:f>
              <c:strCache>
                <c:ptCount val="1"/>
                <c:pt idx="0">
                  <c:v>填補累積短絀</c:v>
                </c:pt>
              </c:strCache>
            </c:strRef>
          </c:tx>
          <c:spPr>
            <a:pattFill prst="wdDnDiag">
              <a:fgClr>
                <a:srgbClr val="33CCCC"/>
              </a:fgClr>
              <a:bgClr>
                <a:schemeClr val="bg1"/>
              </a:bgClr>
            </a:pattFill>
            <a:ln w="25400">
              <a:noFill/>
            </a:ln>
          </c:spPr>
          <c:invertIfNegative val="0"/>
          <c:cat>
            <c:strRef>
              <c:f>sheet2!$B$24:$F$24</c:f>
              <c:strCache>
                <c:ptCount val="5"/>
                <c:pt idx="0">
                  <c:v>107</c:v>
                </c:pt>
                <c:pt idx="1">
                  <c:v>108</c:v>
                </c:pt>
                <c:pt idx="2">
                  <c:v>109</c:v>
                </c:pt>
                <c:pt idx="3">
                  <c:v>110</c:v>
                </c:pt>
                <c:pt idx="4">
                  <c:v>111</c:v>
                </c:pt>
              </c:strCache>
            </c:strRef>
          </c:cat>
          <c:val>
            <c:numRef>
              <c:f>sheet2!$B$25:$F$25</c:f>
              <c:numCache>
                <c:formatCode>General</c:formatCode>
                <c:ptCount val="5"/>
                <c:pt idx="0">
                  <c:v>0</c:v>
                </c:pt>
                <c:pt idx="1">
                  <c:v>21353</c:v>
                </c:pt>
                <c:pt idx="2">
                  <c:v>21362</c:v>
                </c:pt>
                <c:pt idx="3">
                  <c:v>29678</c:v>
                </c:pt>
                <c:pt idx="4">
                  <c:v>28901</c:v>
                </c:pt>
              </c:numCache>
            </c:numRef>
          </c:val>
          <c:extLst>
            <c:ext xmlns:c16="http://schemas.microsoft.com/office/drawing/2014/chart" uri="{C3380CC4-5D6E-409C-BE32-E72D297353CC}">
              <c16:uniqueId val="{00000000-0A0B-420C-AD0A-967495C821A3}"/>
            </c:ext>
          </c:extLst>
        </c:ser>
        <c:ser>
          <c:idx val="1"/>
          <c:order val="1"/>
          <c:tx>
            <c:strRef>
              <c:f>sheet2!$A$26</c:f>
              <c:strCache>
                <c:ptCount val="1"/>
                <c:pt idx="0">
                  <c:v>未分配賸餘</c:v>
                </c:pt>
              </c:strCache>
            </c:strRef>
          </c:tx>
          <c:spPr>
            <a:solidFill>
              <a:srgbClr val="FF6600"/>
            </a:solidFill>
            <a:ln w="25400">
              <a:noFill/>
            </a:ln>
          </c:spPr>
          <c:invertIfNegative val="0"/>
          <c:cat>
            <c:strRef>
              <c:f>sheet2!$B$24:$F$24</c:f>
              <c:strCache>
                <c:ptCount val="5"/>
                <c:pt idx="0">
                  <c:v>107</c:v>
                </c:pt>
                <c:pt idx="1">
                  <c:v>108</c:v>
                </c:pt>
                <c:pt idx="2">
                  <c:v>109</c:v>
                </c:pt>
                <c:pt idx="3">
                  <c:v>110</c:v>
                </c:pt>
                <c:pt idx="4">
                  <c:v>111</c:v>
                </c:pt>
              </c:strCache>
            </c:strRef>
          </c:cat>
          <c:val>
            <c:numRef>
              <c:f>sheet2!$B$26:$F$26</c:f>
              <c:numCache>
                <c:formatCode>General</c:formatCode>
                <c:ptCount val="5"/>
                <c:pt idx="0">
                  <c:v>133156</c:v>
                </c:pt>
                <c:pt idx="1">
                  <c:v>111804</c:v>
                </c:pt>
                <c:pt idx="2">
                  <c:v>90442</c:v>
                </c:pt>
                <c:pt idx="3">
                  <c:v>52518</c:v>
                </c:pt>
                <c:pt idx="4">
                  <c:v>31864</c:v>
                </c:pt>
              </c:numCache>
            </c:numRef>
          </c:val>
          <c:extLst>
            <c:ext xmlns:c16="http://schemas.microsoft.com/office/drawing/2014/chart" uri="{C3380CC4-5D6E-409C-BE32-E72D297353CC}">
              <c16:uniqueId val="{00000001-0A0B-420C-AD0A-967495C821A3}"/>
            </c:ext>
          </c:extLst>
        </c:ser>
        <c:dLbls>
          <c:showLegendKey val="0"/>
          <c:showVal val="0"/>
          <c:showCatName val="0"/>
          <c:showSerName val="0"/>
          <c:showPercent val="0"/>
          <c:showBubbleSize val="0"/>
        </c:dLbls>
        <c:gapWidth val="150"/>
        <c:shape val="box"/>
        <c:axId val="1292708432"/>
        <c:axId val="1"/>
        <c:axId val="0"/>
      </c:bar3DChart>
      <c:catAx>
        <c:axId val="129270843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
        <c:crosses val="autoZero"/>
        <c:auto val="0"/>
        <c:lblAlgn val="ctr"/>
        <c:lblOffset val="100"/>
        <c:tickLblSkip val="1"/>
        <c:tickMarkSkip val="1"/>
        <c:noMultiLvlLbl val="1"/>
      </c:catAx>
      <c:valAx>
        <c:axId val="1"/>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292708432"/>
        <c:crosses val="autoZero"/>
        <c:crossBetween val="between"/>
      </c:valAx>
      <c:spPr>
        <a:noFill/>
        <a:ln w="25400">
          <a:noFill/>
        </a:ln>
      </c:spPr>
    </c:plotArea>
    <c:legend>
      <c:legendPos val="r"/>
      <c:layout>
        <c:manualLayout>
          <c:xMode val="edge"/>
          <c:yMode val="edge"/>
          <c:x val="0.78458458896341676"/>
          <c:y val="0.46391752577319589"/>
          <c:w val="0.19784776902887138"/>
          <c:h val="7.0692194403534608E-2"/>
        </c:manualLayout>
      </c:layout>
      <c:overlay val="0"/>
      <c:spPr>
        <a:noFill/>
        <a:ln w="25400">
          <a:noFill/>
        </a:ln>
      </c:spPr>
      <c:txPr>
        <a:bodyPr/>
        <a:lstStyle/>
        <a:p>
          <a:pPr>
            <a:defRPr sz="12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1076-4CDC-49DC-AEDB-D4CB40C9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dc:description/>
  <cp:lastModifiedBy>admin</cp:lastModifiedBy>
  <cp:revision>11</cp:revision>
  <cp:lastPrinted>2022-12-09T03:07:00Z</cp:lastPrinted>
  <dcterms:created xsi:type="dcterms:W3CDTF">2022-12-05T02:53:00Z</dcterms:created>
  <dcterms:modified xsi:type="dcterms:W3CDTF">2022-12-09T09:06:00Z</dcterms:modified>
</cp:coreProperties>
</file>